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A4455" w14:textId="00D64FC7" w:rsidR="007E1F0E" w:rsidRDefault="007E1F0E" w:rsidP="005A58A5">
      <w:pPr>
        <w:spacing w:after="0"/>
        <w:jc w:val="center"/>
        <w:rPr>
          <w:b/>
          <w:sz w:val="24"/>
          <w:szCs w:val="24"/>
        </w:rPr>
      </w:pPr>
      <w:bookmarkStart w:id="0" w:name="_GoBack"/>
      <w:bookmarkEnd w:id="0"/>
      <w:r>
        <w:rPr>
          <w:b/>
          <w:noProof/>
          <w:sz w:val="24"/>
          <w:szCs w:val="24"/>
        </w:rPr>
        <w:drawing>
          <wp:inline distT="0" distB="0" distL="0" distR="0" wp14:anchorId="38BF27B9" wp14:editId="13561D7C">
            <wp:extent cx="2883921" cy="9979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fMlogo280K_hr.jpg"/>
                    <pic:cNvPicPr/>
                  </pic:nvPicPr>
                  <pic:blipFill>
                    <a:blip r:embed="rId8">
                      <a:extLst>
                        <a:ext uri="{28A0092B-C50C-407E-A947-70E740481C1C}">
                          <a14:useLocalDpi xmlns:a14="http://schemas.microsoft.com/office/drawing/2010/main" val="0"/>
                        </a:ext>
                      </a:extLst>
                    </a:blip>
                    <a:stretch>
                      <a:fillRect/>
                    </a:stretch>
                  </pic:blipFill>
                  <pic:spPr>
                    <a:xfrm>
                      <a:off x="0" y="0"/>
                      <a:ext cx="2883921" cy="997966"/>
                    </a:xfrm>
                    <a:prstGeom prst="rect">
                      <a:avLst/>
                    </a:prstGeom>
                  </pic:spPr>
                </pic:pic>
              </a:graphicData>
            </a:graphic>
          </wp:inline>
        </w:drawing>
      </w:r>
    </w:p>
    <w:p w14:paraId="047D3BF4" w14:textId="77777777" w:rsidR="005A58A5" w:rsidRDefault="000A7C74" w:rsidP="005A58A5">
      <w:pPr>
        <w:spacing w:after="0"/>
        <w:jc w:val="center"/>
        <w:rPr>
          <w:b/>
          <w:sz w:val="24"/>
          <w:szCs w:val="24"/>
        </w:rPr>
      </w:pPr>
      <w:r>
        <w:rPr>
          <w:b/>
          <w:sz w:val="24"/>
          <w:szCs w:val="24"/>
        </w:rPr>
        <w:t xml:space="preserve">Undergraduate </w:t>
      </w:r>
      <w:r w:rsidR="00711933">
        <w:rPr>
          <w:b/>
          <w:sz w:val="24"/>
          <w:szCs w:val="24"/>
        </w:rPr>
        <w:t xml:space="preserve">Recruitment, </w:t>
      </w:r>
      <w:r w:rsidR="00EF3D03">
        <w:rPr>
          <w:b/>
          <w:sz w:val="24"/>
          <w:szCs w:val="24"/>
        </w:rPr>
        <w:t>Enrollment</w:t>
      </w:r>
      <w:r w:rsidR="00711933">
        <w:rPr>
          <w:b/>
          <w:sz w:val="24"/>
          <w:szCs w:val="24"/>
        </w:rPr>
        <w:t xml:space="preserve"> and Retention</w:t>
      </w:r>
      <w:r w:rsidR="00EF3D03">
        <w:rPr>
          <w:b/>
          <w:sz w:val="24"/>
          <w:szCs w:val="24"/>
        </w:rPr>
        <w:t xml:space="preserve"> Management </w:t>
      </w:r>
      <w:r w:rsidR="005A58A5">
        <w:rPr>
          <w:b/>
          <w:sz w:val="24"/>
          <w:szCs w:val="24"/>
        </w:rPr>
        <w:t>Plan</w:t>
      </w:r>
    </w:p>
    <w:p w14:paraId="4A8447FF" w14:textId="77777777" w:rsidR="00F6584D" w:rsidRDefault="00F6584D" w:rsidP="00F6584D">
      <w:pPr>
        <w:spacing w:after="0"/>
      </w:pPr>
    </w:p>
    <w:p w14:paraId="4FCACD50" w14:textId="1F19ABDC" w:rsidR="00F6584D" w:rsidRDefault="00711933" w:rsidP="00F6584D">
      <w:pPr>
        <w:spacing w:after="0"/>
      </w:pPr>
      <w:r>
        <w:rPr>
          <w:b/>
        </w:rPr>
        <w:t>Overview</w:t>
      </w:r>
      <w:r w:rsidR="006949C1">
        <w:rPr>
          <w:b/>
        </w:rPr>
        <w:t xml:space="preserve"> and Statement of the Challenge</w:t>
      </w:r>
    </w:p>
    <w:p w14:paraId="2DB64121" w14:textId="7CD1BD21" w:rsidR="00724F55" w:rsidRDefault="00313AE9" w:rsidP="005A58A5">
      <w:pPr>
        <w:spacing w:after="0"/>
      </w:pPr>
      <w:r>
        <w:t>Between the years of 2003</w:t>
      </w:r>
      <w:r w:rsidR="0090091F">
        <w:t xml:space="preserve"> and 2013, the University of Memphis has seen fluctuations in enrollment at both the undergraduate and graduate level</w:t>
      </w:r>
      <w:r w:rsidR="00E07FEA">
        <w:t>s</w:t>
      </w:r>
      <w:r w:rsidR="0090091F">
        <w:t xml:space="preserve">.  </w:t>
      </w:r>
      <w:r w:rsidR="009879F7">
        <w:t>Given differences in both funding models and core mission</w:t>
      </w:r>
      <w:r w:rsidR="00B06A2E">
        <w:t>s</w:t>
      </w:r>
      <w:r w:rsidR="009879F7">
        <w:t>, graduate e</w:t>
      </w:r>
      <w:r w:rsidR="006949C1">
        <w:t>nrollment will not be discussed here (only referenced in terms of total enrollment).</w:t>
      </w:r>
      <w:r w:rsidR="009879F7">
        <w:t xml:space="preserve">  A separate plan is being developed for the Graduate School, along with efforts to recover cost savings from a current total budget allocation estimated at $18 Million. </w:t>
      </w:r>
      <w:r w:rsidR="006949C1">
        <w:t xml:space="preserve">  Even if the Graduate School shrinks in coming years, it likely will be far more profitable given the heavy investment in tuition waivers and graduate student stipends.  </w:t>
      </w:r>
      <w:r w:rsidR="0090091F">
        <w:t>At the undergraduate level, the Univer</w:t>
      </w:r>
      <w:r w:rsidR="007D509A">
        <w:t>sity grew from a total</w:t>
      </w:r>
      <w:r>
        <w:t xml:space="preserve"> of 15,209 students in Fall 2003 to 17,966 in Fall 2011, the highest</w:t>
      </w:r>
      <w:r w:rsidR="007E1F0E">
        <w:t xml:space="preserve"> enrollment </w:t>
      </w:r>
      <w:r>
        <w:t xml:space="preserve">in </w:t>
      </w:r>
      <w:r w:rsidR="00711933">
        <w:t>this ten-</w:t>
      </w:r>
      <w:r w:rsidR="007E1F0E">
        <w:t>year window</w:t>
      </w:r>
      <w:r>
        <w:t>.  I</w:t>
      </w:r>
      <w:r w:rsidR="0090091F">
        <w:t xml:space="preserve">n Fall </w:t>
      </w:r>
      <w:r w:rsidR="00EE4AB3">
        <w:t>2012</w:t>
      </w:r>
      <w:r w:rsidR="0090091F">
        <w:t xml:space="preserve">, the undergraduate enrollment declined </w:t>
      </w:r>
      <w:r w:rsidR="007D509A">
        <w:t>from the</w:t>
      </w:r>
      <w:r w:rsidR="00EE4AB3">
        <w:t xml:space="preserve"> 2011</w:t>
      </w:r>
      <w:r>
        <w:t xml:space="preserve"> high and in </w:t>
      </w:r>
      <w:r w:rsidR="00EE4AB3">
        <w:t>Fall 20</w:t>
      </w:r>
      <w:r>
        <w:t>13 enroll</w:t>
      </w:r>
      <w:r w:rsidR="00711933">
        <w:t xml:space="preserve">ment was 17,222.  </w:t>
      </w:r>
      <w:r w:rsidR="00724F55">
        <w:t>Despite</w:t>
      </w:r>
      <w:r w:rsidR="007E1F0E">
        <w:t xml:space="preserve"> state and</w:t>
      </w:r>
      <w:r w:rsidR="00724F55">
        <w:t xml:space="preserve"> national trends </w:t>
      </w:r>
      <w:r w:rsidR="007E1F0E">
        <w:t>(</w:t>
      </w:r>
      <w:r w:rsidR="00724F55">
        <w:t xml:space="preserve">and </w:t>
      </w:r>
      <w:r w:rsidR="007E1F0E">
        <w:t xml:space="preserve">related </w:t>
      </w:r>
      <w:r w:rsidR="00724F55">
        <w:t>challenges</w:t>
      </w:r>
      <w:r w:rsidR="007E1F0E">
        <w:t>)</w:t>
      </w:r>
      <w:r w:rsidR="00724F55">
        <w:t xml:space="preserve">, there are a number of variables unique to the University of Memphis that are both converging and contributing to the decline in overall enrollment, particularly at the undergraduate </w:t>
      </w:r>
      <w:r w:rsidR="00B06A2E">
        <w:t>level. These include the following:</w:t>
      </w:r>
    </w:p>
    <w:p w14:paraId="05EF7DC9" w14:textId="13FD5404" w:rsidR="00724F55" w:rsidRDefault="00724F55" w:rsidP="00724F55">
      <w:pPr>
        <w:pStyle w:val="ListParagraph"/>
        <w:numPr>
          <w:ilvl w:val="0"/>
          <w:numId w:val="18"/>
        </w:numPr>
        <w:spacing w:after="0"/>
      </w:pPr>
      <w:r>
        <w:t>A</w:t>
      </w:r>
      <w:r w:rsidR="00711933">
        <w:t xml:space="preserve"> stagnant application pool </w:t>
      </w:r>
      <w:r>
        <w:t xml:space="preserve">for first-time freshman (FTF) </w:t>
      </w:r>
      <w:r w:rsidR="00711933">
        <w:t>(despite improvements in overall quality</w:t>
      </w:r>
      <w:r w:rsidR="006B73BF">
        <w:t xml:space="preserve"> as evidenced by mean and general distribution scores for ACT </w:t>
      </w:r>
      <w:r w:rsidR="00B06A2E">
        <w:t>and GPA).</w:t>
      </w:r>
    </w:p>
    <w:p w14:paraId="1188192A" w14:textId="4BF060FF" w:rsidR="00724F55" w:rsidRDefault="00B06A2E" w:rsidP="00724F55">
      <w:pPr>
        <w:pStyle w:val="ListParagraph"/>
        <w:numPr>
          <w:ilvl w:val="0"/>
          <w:numId w:val="18"/>
        </w:numPr>
        <w:spacing w:after="0"/>
      </w:pPr>
      <w:r>
        <w:t>A c</w:t>
      </w:r>
      <w:r w:rsidR="00711933">
        <w:t xml:space="preserve">ontinuing decline in the overall yield rate from the </w:t>
      </w:r>
      <w:r w:rsidR="00724F55">
        <w:t xml:space="preserve">FTF </w:t>
      </w:r>
      <w:r>
        <w:t>pool.</w:t>
      </w:r>
    </w:p>
    <w:p w14:paraId="6C9FAE26" w14:textId="50FDE0AE" w:rsidR="00640898" w:rsidRDefault="00640898" w:rsidP="00724F55">
      <w:pPr>
        <w:pStyle w:val="ListParagraph"/>
        <w:numPr>
          <w:ilvl w:val="0"/>
          <w:numId w:val="18"/>
        </w:numPr>
        <w:spacing w:after="0"/>
      </w:pPr>
      <w:r>
        <w:t>Declining numbers of transfer students.  Our two largest feeder schools</w:t>
      </w:r>
      <w:r w:rsidR="006B73BF">
        <w:t xml:space="preserve"> (i.e. Southwest and Dyersburg</w:t>
      </w:r>
      <w:r>
        <w:t xml:space="preserve">) have experienced historic declines in recent enrollment numbers. </w:t>
      </w:r>
    </w:p>
    <w:p w14:paraId="2805859E" w14:textId="5DBC9A4F" w:rsidR="00724F55" w:rsidRDefault="00724F55" w:rsidP="00F858DE">
      <w:pPr>
        <w:pStyle w:val="ListParagraph"/>
        <w:numPr>
          <w:ilvl w:val="0"/>
          <w:numId w:val="18"/>
        </w:numPr>
        <w:spacing w:after="0"/>
      </w:pPr>
      <w:r>
        <w:t>H</w:t>
      </w:r>
      <w:r w:rsidR="00711933">
        <w:t xml:space="preserve">igh </w:t>
      </w:r>
      <w:r>
        <w:t xml:space="preserve">rates of </w:t>
      </w:r>
      <w:r w:rsidR="00711933">
        <w:t>attrition among first-time freshman (</w:t>
      </w:r>
      <w:r w:rsidR="00711933" w:rsidRPr="007E1F0E">
        <w:rPr>
          <w:b/>
        </w:rPr>
        <w:t>not transferring to another school</w:t>
      </w:r>
      <w:r w:rsidR="007E1F0E">
        <w:t>), coupled with high transfer-out rates, with both combined approaching or exceeding 40% across all colleges.</w:t>
      </w:r>
      <w:r w:rsidR="00B06A2E">
        <w:t xml:space="preserve">  Efforts need to target developing more significant connectio</w:t>
      </w:r>
      <w:r w:rsidR="006B73BF">
        <w:t xml:space="preserve">ns between FTF and the campus.  </w:t>
      </w:r>
      <w:r w:rsidR="00B06A2E">
        <w:t>High attrition rates this early in the experience suggest poor integration and assimilation into the University of Memphis</w:t>
      </w:r>
      <w:r w:rsidR="006B73BF">
        <w:t xml:space="preserve"> at any level</w:t>
      </w:r>
      <w:r w:rsidR="00B06A2E">
        <w:t xml:space="preserve">.  </w:t>
      </w:r>
    </w:p>
    <w:p w14:paraId="26A553EE" w14:textId="7938C0EC" w:rsidR="00F858DE" w:rsidRDefault="00724F55" w:rsidP="00F858DE">
      <w:pPr>
        <w:pStyle w:val="ListParagraph"/>
        <w:numPr>
          <w:ilvl w:val="0"/>
          <w:numId w:val="18"/>
        </w:numPr>
        <w:spacing w:after="0"/>
      </w:pPr>
      <w:r>
        <w:t>C</w:t>
      </w:r>
      <w:r w:rsidR="00711933">
        <w:t>ontinuing high attrition rates among advance</w:t>
      </w:r>
      <w:r>
        <w:t>d</w:t>
      </w:r>
      <w:r w:rsidR="00711933">
        <w:t xml:space="preserve"> students not transferring to another school (i.e. sophomore, junior a</w:t>
      </w:r>
      <w:r w:rsidR="00F858DE">
        <w:t xml:space="preserve">nd senior status students).  </w:t>
      </w:r>
      <w:r w:rsidR="007C6691">
        <w:t>Using Fall 2012 numbers, t</w:t>
      </w:r>
      <w:r w:rsidR="00F858DE">
        <w:t>he attrition rates for all students (</w:t>
      </w:r>
      <w:r w:rsidR="00F858DE">
        <w:rPr>
          <w:b/>
        </w:rPr>
        <w:t>not transferring to another school</w:t>
      </w:r>
      <w:r w:rsidR="00F858DE">
        <w:t>) for the primary colleges are below (with percentage of total college enrollment in parentheses):</w:t>
      </w:r>
    </w:p>
    <w:p w14:paraId="77DAE995" w14:textId="6EA967B7" w:rsidR="00F858DE" w:rsidRPr="00F858DE" w:rsidRDefault="00F858DE" w:rsidP="00F858DE">
      <w:pPr>
        <w:tabs>
          <w:tab w:val="left" w:pos="4140"/>
          <w:tab w:val="left" w:pos="6480"/>
        </w:tabs>
        <w:spacing w:after="0"/>
        <w:ind w:left="1080"/>
        <w:rPr>
          <w:b/>
        </w:rPr>
      </w:pPr>
      <w:r w:rsidRPr="00F858DE">
        <w:rPr>
          <w:b/>
        </w:rPr>
        <w:t>College</w:t>
      </w:r>
      <w:r>
        <w:rPr>
          <w:rStyle w:val="FootnoteReference"/>
          <w:b/>
        </w:rPr>
        <w:footnoteReference w:id="1"/>
      </w:r>
      <w:r>
        <w:rPr>
          <w:b/>
        </w:rPr>
        <w:tab/>
        <w:t>Total Number</w:t>
      </w:r>
      <w:r>
        <w:rPr>
          <w:b/>
        </w:rPr>
        <w:tab/>
        <w:t>Percentage</w:t>
      </w:r>
    </w:p>
    <w:p w14:paraId="2F918B9B" w14:textId="0929751F" w:rsidR="00F858DE" w:rsidRDefault="00F858DE" w:rsidP="00F858DE">
      <w:pPr>
        <w:pStyle w:val="ListParagraph"/>
        <w:numPr>
          <w:ilvl w:val="1"/>
          <w:numId w:val="18"/>
        </w:numPr>
        <w:tabs>
          <w:tab w:val="left" w:pos="4140"/>
          <w:tab w:val="left" w:pos="6480"/>
        </w:tabs>
        <w:spacing w:after="0"/>
      </w:pPr>
      <w:r>
        <w:t xml:space="preserve"> Arts &amp; Sciences </w:t>
      </w:r>
      <w:r>
        <w:tab/>
        <w:t>854</w:t>
      </w:r>
      <w:r>
        <w:tab/>
        <w:t>23%</w:t>
      </w:r>
    </w:p>
    <w:p w14:paraId="07CAC663" w14:textId="1C59EEFD" w:rsidR="00F858DE" w:rsidRDefault="00F858DE" w:rsidP="00F858DE">
      <w:pPr>
        <w:pStyle w:val="ListParagraph"/>
        <w:numPr>
          <w:ilvl w:val="1"/>
          <w:numId w:val="18"/>
        </w:numPr>
        <w:tabs>
          <w:tab w:val="left" w:pos="4140"/>
          <w:tab w:val="left" w:pos="6480"/>
        </w:tabs>
        <w:spacing w:after="0"/>
      </w:pPr>
      <w:r>
        <w:t>FCBE</w:t>
      </w:r>
      <w:r>
        <w:tab/>
        <w:t>430</w:t>
      </w:r>
      <w:r>
        <w:tab/>
        <w:t>15%</w:t>
      </w:r>
    </w:p>
    <w:p w14:paraId="167EDFBC" w14:textId="3B633483" w:rsidR="00F858DE" w:rsidRDefault="00F858DE" w:rsidP="00F858DE">
      <w:pPr>
        <w:pStyle w:val="ListParagraph"/>
        <w:numPr>
          <w:ilvl w:val="1"/>
          <w:numId w:val="18"/>
        </w:numPr>
        <w:tabs>
          <w:tab w:val="left" w:pos="4140"/>
          <w:tab w:val="left" w:pos="6480"/>
        </w:tabs>
        <w:spacing w:after="0"/>
      </w:pPr>
      <w:r>
        <w:t>CCFA</w:t>
      </w:r>
      <w:r>
        <w:tab/>
        <w:t>249</w:t>
      </w:r>
      <w:r>
        <w:tab/>
        <w:t>8%</w:t>
      </w:r>
    </w:p>
    <w:p w14:paraId="41322286" w14:textId="741D3D7D" w:rsidR="00F858DE" w:rsidRDefault="00F858DE" w:rsidP="00F858DE">
      <w:pPr>
        <w:pStyle w:val="ListParagraph"/>
        <w:numPr>
          <w:ilvl w:val="1"/>
          <w:numId w:val="18"/>
        </w:numPr>
        <w:tabs>
          <w:tab w:val="left" w:pos="4140"/>
          <w:tab w:val="left" w:pos="6480"/>
        </w:tabs>
        <w:spacing w:after="0"/>
      </w:pPr>
      <w:r>
        <w:lastRenderedPageBreak/>
        <w:t>CEHHS</w:t>
      </w:r>
      <w:r>
        <w:tab/>
        <w:t>279</w:t>
      </w:r>
      <w:r>
        <w:tab/>
        <w:t>11%</w:t>
      </w:r>
    </w:p>
    <w:p w14:paraId="67E26A84" w14:textId="6FEF66D5" w:rsidR="00F858DE" w:rsidRDefault="00F858DE" w:rsidP="00F858DE">
      <w:pPr>
        <w:pStyle w:val="ListParagraph"/>
        <w:numPr>
          <w:ilvl w:val="1"/>
          <w:numId w:val="18"/>
        </w:numPr>
        <w:tabs>
          <w:tab w:val="left" w:pos="4140"/>
          <w:tab w:val="left" w:pos="6480"/>
        </w:tabs>
        <w:spacing w:after="0"/>
      </w:pPr>
      <w:r>
        <w:t>COE</w:t>
      </w:r>
      <w:r>
        <w:tab/>
        <w:t>163</w:t>
      </w:r>
      <w:r>
        <w:tab/>
        <w:t>5%</w:t>
      </w:r>
    </w:p>
    <w:p w14:paraId="4E48DBFC" w14:textId="54D10AD7" w:rsidR="00F858DE" w:rsidRDefault="00F858DE" w:rsidP="00F858DE">
      <w:pPr>
        <w:pStyle w:val="ListParagraph"/>
        <w:numPr>
          <w:ilvl w:val="1"/>
          <w:numId w:val="18"/>
        </w:numPr>
        <w:tabs>
          <w:tab w:val="left" w:pos="4140"/>
          <w:tab w:val="left" w:pos="6480"/>
        </w:tabs>
        <w:spacing w:after="0"/>
      </w:pPr>
      <w:r>
        <w:t>UC</w:t>
      </w:r>
      <w:r>
        <w:tab/>
        <w:t>278</w:t>
      </w:r>
      <w:r>
        <w:tab/>
        <w:t>9%</w:t>
      </w:r>
    </w:p>
    <w:p w14:paraId="7299BE5B" w14:textId="2778B220" w:rsidR="00F858DE" w:rsidRPr="007C6691" w:rsidRDefault="00F858DE" w:rsidP="00F858DE">
      <w:pPr>
        <w:pStyle w:val="ListParagraph"/>
        <w:numPr>
          <w:ilvl w:val="1"/>
          <w:numId w:val="18"/>
        </w:numPr>
        <w:tabs>
          <w:tab w:val="left" w:pos="4140"/>
          <w:tab w:val="left" w:pos="6480"/>
        </w:tabs>
        <w:spacing w:after="0"/>
      </w:pPr>
      <w:r>
        <w:t>LSON</w:t>
      </w:r>
      <w:r>
        <w:tab/>
      </w:r>
      <w:r>
        <w:rPr>
          <w:i/>
        </w:rPr>
        <w:t>Numbers currently unavailable</w:t>
      </w:r>
      <w:r w:rsidR="006B73BF">
        <w:rPr>
          <w:i/>
        </w:rPr>
        <w:t>/questionable</w:t>
      </w:r>
    </w:p>
    <w:p w14:paraId="21443FFB" w14:textId="27929703" w:rsidR="007C6691" w:rsidRPr="007C6691" w:rsidRDefault="007C6691" w:rsidP="007C6691">
      <w:pPr>
        <w:pStyle w:val="ListParagraph"/>
        <w:tabs>
          <w:tab w:val="left" w:pos="4140"/>
          <w:tab w:val="left" w:pos="6480"/>
        </w:tabs>
        <w:spacing w:after="0"/>
        <w:ind w:left="1440"/>
        <w:rPr>
          <w:b/>
        </w:rPr>
      </w:pPr>
      <w:r>
        <w:rPr>
          <w:b/>
        </w:rPr>
        <w:t>Total Students Lost</w:t>
      </w:r>
      <w:r>
        <w:rPr>
          <w:b/>
        </w:rPr>
        <w:tab/>
        <w:t>2680 (including LSON estimates)</w:t>
      </w:r>
    </w:p>
    <w:p w14:paraId="1B30ED43" w14:textId="2DC68D9A" w:rsidR="00724F55" w:rsidRPr="001951B4" w:rsidRDefault="00D94620" w:rsidP="00D94620">
      <w:pPr>
        <w:pStyle w:val="ListParagraph"/>
        <w:spacing w:after="0"/>
        <w:rPr>
          <w:color w:val="FF0000"/>
        </w:rPr>
      </w:pPr>
      <w:r>
        <w:t xml:space="preserve">As is evident, the attrition rates of students not transferring to another institution of higher education are substantial across colleges, and an issue that warrants strategic response.  </w:t>
      </w:r>
      <w:r w:rsidR="001951B4" w:rsidRPr="001951B4">
        <w:rPr>
          <w:color w:val="FF0000"/>
        </w:rPr>
        <w:t xml:space="preserve">As a reminder, the majority of our students are </w:t>
      </w:r>
      <w:r w:rsidR="001951B4" w:rsidRPr="001951B4">
        <w:rPr>
          <w:b/>
          <w:color w:val="FF0000"/>
        </w:rPr>
        <w:t>NOT</w:t>
      </w:r>
      <w:r w:rsidR="001951B4" w:rsidRPr="001951B4">
        <w:rPr>
          <w:color w:val="FF0000"/>
        </w:rPr>
        <w:t xml:space="preserve"> underperforming academically.  The six-year average for all students with a GPA at or above 2.7 is almost 57%.  </w:t>
      </w:r>
    </w:p>
    <w:p w14:paraId="1E69DB64" w14:textId="367E04E3" w:rsidR="00724F55" w:rsidRDefault="00724F55" w:rsidP="00724F55">
      <w:pPr>
        <w:pStyle w:val="ListParagraph"/>
        <w:numPr>
          <w:ilvl w:val="0"/>
          <w:numId w:val="18"/>
        </w:numPr>
        <w:spacing w:after="0"/>
      </w:pPr>
      <w:r>
        <w:t>L</w:t>
      </w:r>
      <w:r w:rsidR="00711933">
        <w:t xml:space="preserve">imited </w:t>
      </w:r>
      <w:r>
        <w:t xml:space="preserve">institutional </w:t>
      </w:r>
      <w:r w:rsidR="00711933">
        <w:t>support (i.e. targeted advising, efficient degree pathways, and effective re-direction strategies) for lower-performing students in particular.</w:t>
      </w:r>
      <w:r>
        <w:t xml:space="preserve">  </w:t>
      </w:r>
      <w:r w:rsidR="00711933">
        <w:t xml:space="preserve">  </w:t>
      </w:r>
    </w:p>
    <w:p w14:paraId="01C8BF6B" w14:textId="77777777" w:rsidR="00724F55" w:rsidRDefault="00724F55" w:rsidP="005A58A5">
      <w:pPr>
        <w:spacing w:after="0"/>
      </w:pPr>
    </w:p>
    <w:p w14:paraId="32336170" w14:textId="4BE064C2" w:rsidR="00EE4AB3" w:rsidRDefault="00711933" w:rsidP="005A58A5">
      <w:pPr>
        <w:spacing w:after="0"/>
      </w:pPr>
      <w:r>
        <w:t>Using Fall 2012 data, the overall attrition rate from the university was 16% across all students (N=2,680)</w:t>
      </w:r>
      <w:r w:rsidR="00343EA3">
        <w:t xml:space="preserve"> </w:t>
      </w:r>
      <w:r w:rsidR="0049753B">
        <w:rPr>
          <w:b/>
        </w:rPr>
        <w:t>that did</w:t>
      </w:r>
      <w:r w:rsidR="00343EA3">
        <w:rPr>
          <w:b/>
        </w:rPr>
        <w:t xml:space="preserve"> not transfer or attend another university.</w:t>
      </w:r>
      <w:r w:rsidR="00343EA3">
        <w:t xml:space="preserve">  The overall attrition rate is hig</w:t>
      </w:r>
      <w:r w:rsidR="0030055F">
        <w:t>her if transfers are considered, with it approaching 30%.</w:t>
      </w:r>
      <w:r w:rsidR="00343EA3">
        <w:t xml:space="preserve">  </w:t>
      </w:r>
      <w:r w:rsidR="0049753B">
        <w:rPr>
          <w:color w:val="FF0000"/>
        </w:rPr>
        <w:t>Retaining students already attending the University of Memphis represent</w:t>
      </w:r>
      <w:r w:rsidR="006F2856">
        <w:rPr>
          <w:color w:val="FF0000"/>
        </w:rPr>
        <w:t>s</w:t>
      </w:r>
      <w:r w:rsidR="0049753B">
        <w:rPr>
          <w:color w:val="FF0000"/>
        </w:rPr>
        <w:t xml:space="preserve"> our greatest challenge.  </w:t>
      </w:r>
      <w:r w:rsidR="00724F55">
        <w:t xml:space="preserve">It is critical to recognize that many students leave the University </w:t>
      </w:r>
      <w:r w:rsidR="00343EA3">
        <w:t>in good academic standing</w:t>
      </w:r>
      <w:r w:rsidR="0030055F">
        <w:t xml:space="preserve"> but do not attend another institution of higher education.  Pilot studies indicate such losses are</w:t>
      </w:r>
      <w:r w:rsidR="0049753B">
        <w:t xml:space="preserve"> </w:t>
      </w:r>
      <w:r w:rsidR="0030055F">
        <w:t xml:space="preserve">primarily </w:t>
      </w:r>
      <w:r w:rsidR="0049753B">
        <w:t xml:space="preserve">the result of </w:t>
      </w:r>
      <w:r w:rsidR="0030055F">
        <w:t>financial challenges (including exhausting loan capacity)</w:t>
      </w:r>
      <w:r w:rsidR="00CB0756">
        <w:t xml:space="preserve"> and psychosocial issues.  </w:t>
      </w:r>
      <w:r w:rsidRPr="0049753B">
        <w:rPr>
          <w:u w:val="single"/>
        </w:rPr>
        <w:t>In short, the University of Memphis is grappling with an enrollment problem that is more expansive than the recruitment of first-time freshman</w:t>
      </w:r>
      <w:r>
        <w:t xml:space="preserve">, </w:t>
      </w:r>
      <w:r w:rsidRPr="0049753B">
        <w:rPr>
          <w:u w:val="single"/>
        </w:rPr>
        <w:t>it’s one characterized by profound retention challenges among sophomores, juniors and seniors</w:t>
      </w:r>
      <w:r>
        <w:t xml:space="preserve">.   </w:t>
      </w:r>
      <w:r w:rsidR="00CB0756">
        <w:t xml:space="preserve">The good news is that these are problems we can target in specific fashion and likely influence on a short time horizon.  </w:t>
      </w:r>
    </w:p>
    <w:p w14:paraId="782DC453" w14:textId="77777777" w:rsidR="0090091F" w:rsidRDefault="0090091F" w:rsidP="005A58A5">
      <w:pPr>
        <w:spacing w:after="0"/>
      </w:pPr>
    </w:p>
    <w:p w14:paraId="0ED19EAA" w14:textId="15518A7C" w:rsidR="005A58A5" w:rsidRPr="005A58A5" w:rsidRDefault="00711933" w:rsidP="005A58A5">
      <w:pPr>
        <w:spacing w:after="0"/>
      </w:pPr>
      <w:r>
        <w:t xml:space="preserve">The </w:t>
      </w:r>
      <w:r w:rsidR="00CB0756">
        <w:t xml:space="preserve">University </w:t>
      </w:r>
      <w:r w:rsidR="00550B0E">
        <w:t>enrollment goal</w:t>
      </w:r>
      <w:r w:rsidR="00F16E57">
        <w:t xml:space="preserve"> for</w:t>
      </w:r>
      <w:r w:rsidR="00CB0756">
        <w:t xml:space="preserve"> </w:t>
      </w:r>
      <w:r w:rsidR="00550B0E">
        <w:t xml:space="preserve">the </w:t>
      </w:r>
      <w:r w:rsidR="00CB0756">
        <w:t>2016</w:t>
      </w:r>
      <w:r w:rsidR="00F16E57">
        <w:t xml:space="preserve"> academic year</w:t>
      </w:r>
      <w:r w:rsidR="00CB0756">
        <w:t xml:space="preserve"> is 23,000 students</w:t>
      </w:r>
      <w:r w:rsidR="00F16E57">
        <w:t>.  This includes</w:t>
      </w:r>
      <w:r>
        <w:t xml:space="preserve"> </w:t>
      </w:r>
      <w:r w:rsidR="00CB0756">
        <w:t xml:space="preserve">both </w:t>
      </w:r>
      <w:r>
        <w:t>undergraduate and graduate students</w:t>
      </w:r>
      <w:r w:rsidR="00CB0756">
        <w:t xml:space="preserve">.  </w:t>
      </w:r>
      <w:r w:rsidR="00F16E57">
        <w:t>A key assumption is there will be</w:t>
      </w:r>
      <w:r w:rsidR="00550B0E">
        <w:t xml:space="preserve"> no increase (or marginal </w:t>
      </w:r>
      <w:r w:rsidR="00CB0756">
        <w:t>decreases) in graduate enrollment</w:t>
      </w:r>
      <w:r w:rsidR="00F16E57">
        <w:t xml:space="preserve"> outside of the </w:t>
      </w:r>
      <w:r w:rsidR="00DD7106">
        <w:t xml:space="preserve">Cecil C. Humphreys </w:t>
      </w:r>
      <w:r w:rsidR="00F16E57">
        <w:t>School of Law</w:t>
      </w:r>
      <w:r>
        <w:t xml:space="preserve">. </w:t>
      </w:r>
      <w:r w:rsidR="00EF3D03">
        <w:t xml:space="preserve"> </w:t>
      </w:r>
      <w:r w:rsidR="004B38D7">
        <w:t xml:space="preserve"> </w:t>
      </w:r>
      <w:r w:rsidR="00DD6686">
        <w:t xml:space="preserve">Given that the School of Public Health has yet to achieve accreditation, it is not incorporated into these projections.  </w:t>
      </w:r>
      <w:r w:rsidR="00550B0E">
        <w:t xml:space="preserve">Accordingly, greater increases could be realized depending on the accreditation horizon for the School of Public Health.  </w:t>
      </w:r>
      <w:r w:rsidR="004B38D7">
        <w:t>Curren</w:t>
      </w:r>
      <w:r w:rsidR="00F469FB">
        <w:t>t projections exceed 23,000</w:t>
      </w:r>
      <w:r w:rsidR="004B38D7">
        <w:t>, i.e. if graduate enrollment remains stable.  This provides some cushion for contraction of the Graduate School (i.e.</w:t>
      </w:r>
      <w:r w:rsidR="00E07FEA">
        <w:t>,</w:t>
      </w:r>
      <w:r w:rsidR="004B38D7">
        <w:t xml:space="preserve"> with a positive financial impact on the University).</w:t>
      </w:r>
      <w:r w:rsidR="00EF3D03">
        <w:t xml:space="preserve"> </w:t>
      </w:r>
    </w:p>
    <w:p w14:paraId="1AC092A3" w14:textId="77777777" w:rsidR="00F6584D" w:rsidRDefault="00F6584D" w:rsidP="00F6584D">
      <w:pPr>
        <w:spacing w:after="0"/>
      </w:pPr>
    </w:p>
    <w:p w14:paraId="3BD81339" w14:textId="7C1C83F9" w:rsidR="00550B0E" w:rsidRDefault="00550B0E" w:rsidP="00F6584D">
      <w:pPr>
        <w:spacing w:after="0"/>
      </w:pPr>
      <w:r>
        <w:t>Target enrollment goals include the following (using Fall 2013 numbers for comparison):</w:t>
      </w:r>
    </w:p>
    <w:p w14:paraId="16957125" w14:textId="5AB008D4" w:rsidR="00550B0E" w:rsidRDefault="00550B0E" w:rsidP="00550B0E">
      <w:pPr>
        <w:pStyle w:val="ListParagraph"/>
        <w:numPr>
          <w:ilvl w:val="0"/>
          <w:numId w:val="19"/>
        </w:numPr>
        <w:spacing w:after="0"/>
      </w:pPr>
      <w:r>
        <w:t>An increase of 11% in first-time freshman (</w:t>
      </w:r>
      <w:r w:rsidR="00146CB5">
        <w:rPr>
          <w:b/>
        </w:rPr>
        <w:t>N=264</w:t>
      </w:r>
      <w:r w:rsidRPr="00CA1645">
        <w:rPr>
          <w:b/>
        </w:rPr>
        <w:t xml:space="preserve"> students</w:t>
      </w:r>
      <w:r w:rsidR="00CA1645">
        <w:rPr>
          <w:b/>
        </w:rPr>
        <w:t xml:space="preserve"> per year</w:t>
      </w:r>
      <w:r>
        <w:t>) to a tota</w:t>
      </w:r>
      <w:r w:rsidR="00146CB5">
        <w:t>l class size of 404</w:t>
      </w:r>
      <w:r w:rsidR="00CA1645">
        <w:t>2 in 2016</w:t>
      </w:r>
      <w:r w:rsidR="00146CB5">
        <w:t xml:space="preserve"> (includes transfers)</w:t>
      </w:r>
      <w:r>
        <w:t>.</w:t>
      </w:r>
      <w:r w:rsidR="00CA1645">
        <w:t xml:space="preserve">  Growth in the second year would be 9.9%.  Rationale for growth projections is included below</w:t>
      </w:r>
      <w:r w:rsidR="0069221F">
        <w:t xml:space="preserve"> in the strategies section (using Royall &amp; Company averages)</w:t>
      </w:r>
      <w:r w:rsidR="00CA1645">
        <w:t xml:space="preserve">.  Total growth would be </w:t>
      </w:r>
      <w:r w:rsidR="00146CB5">
        <w:rPr>
          <w:b/>
        </w:rPr>
        <w:t>528</w:t>
      </w:r>
      <w:r w:rsidR="00CA1645">
        <w:rPr>
          <w:b/>
        </w:rPr>
        <w:t xml:space="preserve"> students.  </w:t>
      </w:r>
      <w:r w:rsidR="00CA1645">
        <w:t>This does not factor in variable attrition fr</w:t>
      </w:r>
      <w:r w:rsidR="00F469FB">
        <w:t xml:space="preserve">om freshman to sophomore years; </w:t>
      </w:r>
      <w:r w:rsidR="00CA1645">
        <w:t xml:space="preserve">that is considered in the numbers below.  </w:t>
      </w:r>
    </w:p>
    <w:p w14:paraId="4C7F3E6E" w14:textId="2E4F941E" w:rsidR="00550B0E" w:rsidRDefault="00550B0E" w:rsidP="00550B0E">
      <w:pPr>
        <w:pStyle w:val="ListParagraph"/>
        <w:numPr>
          <w:ilvl w:val="0"/>
          <w:numId w:val="19"/>
        </w:numPr>
        <w:spacing w:after="0"/>
      </w:pPr>
      <w:r>
        <w:t>Enhanced enrollment through improved retention across the colleges (a 33% reduction in attrition across colleges at all students levels</w:t>
      </w:r>
      <w:r w:rsidR="00F469FB">
        <w:t xml:space="preserve"> over the next two years</w:t>
      </w:r>
      <w:r>
        <w:t>):</w:t>
      </w:r>
    </w:p>
    <w:p w14:paraId="1294F3D8" w14:textId="6B777A45" w:rsidR="00550B0E" w:rsidRDefault="00550B0E" w:rsidP="00550B0E">
      <w:pPr>
        <w:pStyle w:val="ListParagraph"/>
        <w:numPr>
          <w:ilvl w:val="1"/>
          <w:numId w:val="19"/>
        </w:numPr>
        <w:tabs>
          <w:tab w:val="left" w:pos="5760"/>
        </w:tabs>
        <w:spacing w:after="0"/>
      </w:pPr>
      <w:r>
        <w:t xml:space="preserve">College of Arts &amp; Sciences  </w:t>
      </w:r>
      <w:r>
        <w:tab/>
        <w:t>250 students</w:t>
      </w:r>
    </w:p>
    <w:p w14:paraId="775B6F58" w14:textId="03966240" w:rsidR="00550B0E" w:rsidRDefault="00550B0E" w:rsidP="00550B0E">
      <w:pPr>
        <w:pStyle w:val="ListParagraph"/>
        <w:numPr>
          <w:ilvl w:val="1"/>
          <w:numId w:val="19"/>
        </w:numPr>
        <w:tabs>
          <w:tab w:val="left" w:pos="5760"/>
        </w:tabs>
        <w:spacing w:after="0"/>
      </w:pPr>
      <w:r>
        <w:t>FCBE</w:t>
      </w:r>
      <w:r>
        <w:tab/>
        <w:t>150 students</w:t>
      </w:r>
    </w:p>
    <w:p w14:paraId="619A9D6E" w14:textId="377C5BCD" w:rsidR="00550B0E" w:rsidRDefault="00550B0E" w:rsidP="00550B0E">
      <w:pPr>
        <w:pStyle w:val="ListParagraph"/>
        <w:numPr>
          <w:ilvl w:val="1"/>
          <w:numId w:val="19"/>
        </w:numPr>
        <w:tabs>
          <w:tab w:val="left" w:pos="5760"/>
        </w:tabs>
        <w:spacing w:after="0"/>
      </w:pPr>
      <w:r>
        <w:lastRenderedPageBreak/>
        <w:t>CCFA</w:t>
      </w:r>
      <w:r>
        <w:tab/>
        <w:t>80 students</w:t>
      </w:r>
    </w:p>
    <w:p w14:paraId="3B43EA32" w14:textId="1BE64A7D" w:rsidR="00550B0E" w:rsidRDefault="00550B0E" w:rsidP="00550B0E">
      <w:pPr>
        <w:pStyle w:val="ListParagraph"/>
        <w:numPr>
          <w:ilvl w:val="1"/>
          <w:numId w:val="19"/>
        </w:numPr>
        <w:tabs>
          <w:tab w:val="left" w:pos="5760"/>
        </w:tabs>
        <w:spacing w:after="0"/>
      </w:pPr>
      <w:r>
        <w:t>CEHHS</w:t>
      </w:r>
      <w:r>
        <w:tab/>
        <w:t>120 students</w:t>
      </w:r>
    </w:p>
    <w:p w14:paraId="3742E209" w14:textId="388FA633" w:rsidR="00550B0E" w:rsidRDefault="00550B0E" w:rsidP="00550B0E">
      <w:pPr>
        <w:pStyle w:val="ListParagraph"/>
        <w:numPr>
          <w:ilvl w:val="1"/>
          <w:numId w:val="19"/>
        </w:numPr>
        <w:tabs>
          <w:tab w:val="left" w:pos="5760"/>
        </w:tabs>
        <w:spacing w:after="0"/>
      </w:pPr>
      <w:r>
        <w:t>COE</w:t>
      </w:r>
      <w:r>
        <w:tab/>
        <w:t>60 students</w:t>
      </w:r>
    </w:p>
    <w:p w14:paraId="44D849AF" w14:textId="280C67D1" w:rsidR="00550B0E" w:rsidRDefault="00550B0E" w:rsidP="00550B0E">
      <w:pPr>
        <w:pStyle w:val="ListParagraph"/>
        <w:numPr>
          <w:ilvl w:val="1"/>
          <w:numId w:val="19"/>
        </w:numPr>
        <w:tabs>
          <w:tab w:val="left" w:pos="5760"/>
        </w:tabs>
        <w:spacing w:after="0"/>
      </w:pPr>
      <w:r>
        <w:t>University College</w:t>
      </w:r>
      <w:r>
        <w:tab/>
      </w:r>
      <w:r w:rsidR="00CA1645">
        <w:t>100 students</w:t>
      </w:r>
    </w:p>
    <w:p w14:paraId="09C00F02" w14:textId="76A58551" w:rsidR="00CA1645" w:rsidRDefault="00CA1645" w:rsidP="00550B0E">
      <w:pPr>
        <w:pStyle w:val="ListParagraph"/>
        <w:numPr>
          <w:ilvl w:val="1"/>
          <w:numId w:val="19"/>
        </w:numPr>
        <w:tabs>
          <w:tab w:val="left" w:pos="5760"/>
        </w:tabs>
        <w:spacing w:after="0"/>
      </w:pPr>
      <w:r>
        <w:t>LSON</w:t>
      </w:r>
      <w:r>
        <w:tab/>
        <w:t>124 students</w:t>
      </w:r>
    </w:p>
    <w:p w14:paraId="7EF77737" w14:textId="46F87CDF" w:rsidR="00CA1645" w:rsidRPr="00CA1645" w:rsidRDefault="00CA1645" w:rsidP="00CA1645">
      <w:pPr>
        <w:pStyle w:val="ListParagraph"/>
        <w:tabs>
          <w:tab w:val="left" w:pos="5760"/>
        </w:tabs>
        <w:spacing w:after="0"/>
        <w:ind w:left="1800"/>
        <w:rPr>
          <w:b/>
        </w:rPr>
      </w:pPr>
      <w:r>
        <w:rPr>
          <w:b/>
        </w:rPr>
        <w:t>Totals</w:t>
      </w:r>
      <w:r>
        <w:rPr>
          <w:b/>
        </w:rPr>
        <w:tab/>
        <w:t>884 Students</w:t>
      </w:r>
    </w:p>
    <w:p w14:paraId="34049412" w14:textId="11DCDCEB" w:rsidR="00BE0A1A" w:rsidRDefault="00BE0A1A" w:rsidP="00550B0E">
      <w:pPr>
        <w:pStyle w:val="ListParagraph"/>
        <w:numPr>
          <w:ilvl w:val="0"/>
          <w:numId w:val="19"/>
        </w:numPr>
        <w:spacing w:after="0"/>
      </w:pPr>
      <w:r>
        <w:t xml:space="preserve">Growth in students enrolled purely online of approximately 10% over two years, a total of approximately </w:t>
      </w:r>
      <w:r w:rsidRPr="00BE0A1A">
        <w:rPr>
          <w:b/>
        </w:rPr>
        <w:t>200 students</w:t>
      </w:r>
      <w:r>
        <w:t>.  A separate online plan has already been distributed</w:t>
      </w:r>
      <w:r w:rsidR="00F27CD6">
        <w:t xml:space="preserve"> and is summarized below</w:t>
      </w:r>
      <w:r>
        <w:t>.</w:t>
      </w:r>
    </w:p>
    <w:p w14:paraId="53FAC9D1" w14:textId="544250AE" w:rsidR="00BE0A1A" w:rsidRPr="00F27CD6" w:rsidRDefault="00BE0A1A" w:rsidP="00550B0E">
      <w:pPr>
        <w:pStyle w:val="ListParagraph"/>
        <w:numPr>
          <w:ilvl w:val="0"/>
          <w:numId w:val="19"/>
        </w:numPr>
        <w:spacing w:after="0"/>
      </w:pPr>
      <w:r>
        <w:t xml:space="preserve">Growth in the yield rate for dual enrollment students of approximately 10% over two years, a total of </w:t>
      </w:r>
      <w:r w:rsidR="00F27CD6">
        <w:rPr>
          <w:b/>
        </w:rPr>
        <w:t xml:space="preserve">100 students.  </w:t>
      </w:r>
      <w:r w:rsidR="00F27CD6">
        <w:t xml:space="preserve">See the brief summary below.  </w:t>
      </w:r>
      <w:r w:rsidR="00F27CD6">
        <w:rPr>
          <w:b/>
        </w:rPr>
        <w:t xml:space="preserve"> </w:t>
      </w:r>
    </w:p>
    <w:p w14:paraId="6F69C27C" w14:textId="0DD7BE02" w:rsidR="00F27CD6" w:rsidRDefault="00F27CD6" w:rsidP="00550B0E">
      <w:pPr>
        <w:pStyle w:val="ListParagraph"/>
        <w:numPr>
          <w:ilvl w:val="0"/>
          <w:numId w:val="19"/>
        </w:numPr>
        <w:spacing w:after="0"/>
      </w:pPr>
      <w:r>
        <w:t xml:space="preserve">New enrollment generated from the 90+ initiative (see below) of approximately 20% over two years (N=2,020), for a total of </w:t>
      </w:r>
      <w:r>
        <w:rPr>
          <w:b/>
        </w:rPr>
        <w:t xml:space="preserve">404 students.  </w:t>
      </w:r>
    </w:p>
    <w:p w14:paraId="15E3B519" w14:textId="7CD87405" w:rsidR="00550B0E" w:rsidRPr="00CA1645" w:rsidRDefault="00CA1645" w:rsidP="00550B0E">
      <w:pPr>
        <w:pStyle w:val="ListParagraph"/>
        <w:numPr>
          <w:ilvl w:val="0"/>
          <w:numId w:val="19"/>
        </w:numPr>
        <w:spacing w:after="0"/>
      </w:pPr>
      <w:r>
        <w:t>Growth in enrollment in the Cecil C. Humphreys School of Law by 10 students per year</w:t>
      </w:r>
      <w:r w:rsidR="0069221F">
        <w:t xml:space="preserve"> (using out of state tuition waiver program)</w:t>
      </w:r>
      <w:r>
        <w:t xml:space="preserve">, for a </w:t>
      </w:r>
      <w:r>
        <w:rPr>
          <w:b/>
        </w:rPr>
        <w:t>total of 20 students.</w:t>
      </w:r>
    </w:p>
    <w:p w14:paraId="4F38B05D" w14:textId="1A9BEFCF" w:rsidR="0069221F" w:rsidRDefault="0069221F" w:rsidP="0069221F">
      <w:pPr>
        <w:pStyle w:val="ListParagraph"/>
        <w:numPr>
          <w:ilvl w:val="0"/>
          <w:numId w:val="19"/>
        </w:numPr>
        <w:spacing w:after="0"/>
      </w:pPr>
      <w:r>
        <w:t xml:space="preserve">Growth in Lambuth campus to 1,000 students across all programs.  Total growth would be approximately </w:t>
      </w:r>
      <w:r>
        <w:rPr>
          <w:b/>
        </w:rPr>
        <w:t xml:space="preserve">250 students.  </w:t>
      </w:r>
      <w:r>
        <w:t>The LSON program will grow by a total of 40 students this coming spring, meaning all other programs will need to realize growth of 210 students.</w:t>
      </w:r>
    </w:p>
    <w:p w14:paraId="1606B6B5" w14:textId="77777777" w:rsidR="0069221F" w:rsidRDefault="0069221F" w:rsidP="0069221F">
      <w:pPr>
        <w:spacing w:after="0"/>
      </w:pPr>
    </w:p>
    <w:p w14:paraId="34C2E47B" w14:textId="0BE95479" w:rsidR="0069221F" w:rsidRPr="000B54B3" w:rsidRDefault="0069221F" w:rsidP="000B54B3">
      <w:pPr>
        <w:spacing w:after="0"/>
        <w:jc w:val="center"/>
        <w:rPr>
          <w:b/>
          <w:sz w:val="28"/>
          <w:szCs w:val="28"/>
        </w:rPr>
      </w:pPr>
      <w:r w:rsidRPr="000B54B3">
        <w:rPr>
          <w:b/>
          <w:sz w:val="28"/>
          <w:szCs w:val="28"/>
        </w:rPr>
        <w:t>T</w:t>
      </w:r>
      <w:r w:rsidR="00146CB5">
        <w:rPr>
          <w:b/>
          <w:sz w:val="28"/>
          <w:szCs w:val="28"/>
        </w:rPr>
        <w:t>otal growth projections:  2,386</w:t>
      </w:r>
      <w:r w:rsidR="00F27CD6" w:rsidRPr="000B54B3">
        <w:rPr>
          <w:b/>
          <w:sz w:val="28"/>
          <w:szCs w:val="28"/>
        </w:rPr>
        <w:t xml:space="preserve"> </w:t>
      </w:r>
      <w:r w:rsidRPr="000B54B3">
        <w:rPr>
          <w:b/>
          <w:sz w:val="28"/>
          <w:szCs w:val="28"/>
        </w:rPr>
        <w:t>students.  This would result</w:t>
      </w:r>
      <w:r w:rsidR="00146CB5">
        <w:rPr>
          <w:b/>
          <w:sz w:val="28"/>
          <w:szCs w:val="28"/>
        </w:rPr>
        <w:t xml:space="preserve"> in a total enrollment of 19,608 undergraduate</w:t>
      </w:r>
      <w:r w:rsidR="00F469FB">
        <w:rPr>
          <w:b/>
          <w:sz w:val="28"/>
          <w:szCs w:val="28"/>
        </w:rPr>
        <w:t>s</w:t>
      </w:r>
      <w:r w:rsidR="00146CB5">
        <w:rPr>
          <w:b/>
          <w:sz w:val="28"/>
          <w:szCs w:val="28"/>
        </w:rPr>
        <w:t xml:space="preserve"> and total enrollment of 23,866 (with stable graduate enrollment).</w:t>
      </w:r>
      <w:r w:rsidR="00F469FB">
        <w:rPr>
          <w:b/>
          <w:sz w:val="28"/>
          <w:szCs w:val="28"/>
        </w:rPr>
        <w:t xml:space="preserve">  This projection allows for significant decline in graduate enrollment in order to meet the 23,000 target. </w:t>
      </w:r>
    </w:p>
    <w:p w14:paraId="6B663D62" w14:textId="77777777" w:rsidR="00550B0E" w:rsidRDefault="00550B0E" w:rsidP="00F6584D">
      <w:pPr>
        <w:spacing w:after="0"/>
        <w:rPr>
          <w:b/>
        </w:rPr>
      </w:pPr>
    </w:p>
    <w:p w14:paraId="4C4DC3F9" w14:textId="262D5A97" w:rsidR="00550B0E" w:rsidRDefault="00EB3526" w:rsidP="00F6584D">
      <w:pPr>
        <w:spacing w:after="0"/>
      </w:pPr>
      <w:r>
        <w:t>The University of Memphis serves a broad range of student constituencies, consistent with most urban public research universities. Accordingly, the strategies to grow enrollment (including enhanced retention) are summarized across different target groups.</w:t>
      </w:r>
    </w:p>
    <w:p w14:paraId="20B6F6F8" w14:textId="77777777" w:rsidR="00EB3526" w:rsidRDefault="00EB3526" w:rsidP="00F6584D">
      <w:pPr>
        <w:spacing w:after="0"/>
      </w:pPr>
    </w:p>
    <w:p w14:paraId="56205B3D" w14:textId="0E04E279" w:rsidR="00EB3526" w:rsidRPr="005A2782" w:rsidRDefault="007534D9" w:rsidP="00F6584D">
      <w:pPr>
        <w:spacing w:after="0"/>
        <w:rPr>
          <w:b/>
        </w:rPr>
      </w:pPr>
      <w:r>
        <w:rPr>
          <w:b/>
        </w:rPr>
        <w:t>First-Time Freshman</w:t>
      </w:r>
      <w:r w:rsidR="005A2782">
        <w:rPr>
          <w:b/>
        </w:rPr>
        <w:t xml:space="preserve">.  </w:t>
      </w:r>
      <w:r w:rsidR="00EB3526">
        <w:t>Strategies to grow enrollment of FTF include the following:</w:t>
      </w:r>
    </w:p>
    <w:p w14:paraId="7F61C48B" w14:textId="673AFE2F" w:rsidR="00EB3526" w:rsidRPr="00EB3526" w:rsidRDefault="00EB3526" w:rsidP="00EB3526">
      <w:pPr>
        <w:pStyle w:val="ListParagraph"/>
        <w:numPr>
          <w:ilvl w:val="0"/>
          <w:numId w:val="20"/>
        </w:numPr>
        <w:spacing w:after="0"/>
      </w:pPr>
      <w:r>
        <w:t>Contract with Royall &amp; Company to help gro</w:t>
      </w:r>
      <w:r w:rsidR="00917C48">
        <w:t>w the stagnant application pool</w:t>
      </w:r>
      <w:r>
        <w:t xml:space="preserve"> while maintaining academic standards. On average, Royall &amp; Company has helped grow university application pools by 34%, with an increased yield rate of 11%.  This will allow enrollment services to focus specifically on increasing the overall yield rate from the application pool</w:t>
      </w:r>
      <w:r w:rsidR="002638C0">
        <w:t xml:space="preserve">, </w:t>
      </w:r>
      <w:r w:rsidR="002638C0" w:rsidRPr="002638C0">
        <w:rPr>
          <w:b/>
        </w:rPr>
        <w:t>along with the dual enrollment pool</w:t>
      </w:r>
      <w:r>
        <w:t xml:space="preserve">.  </w:t>
      </w:r>
      <w:r>
        <w:rPr>
          <w:b/>
          <w:color w:val="FF0000"/>
        </w:rPr>
        <w:t xml:space="preserve">This effort is already underway.  A contract has been signed.  </w:t>
      </w:r>
    </w:p>
    <w:p w14:paraId="2DBF6620" w14:textId="79B0923A" w:rsidR="007534D9" w:rsidRPr="007534D9" w:rsidRDefault="00EB3526" w:rsidP="007534D9">
      <w:pPr>
        <w:pStyle w:val="ListParagraph"/>
        <w:numPr>
          <w:ilvl w:val="0"/>
          <w:numId w:val="20"/>
        </w:numPr>
        <w:spacing w:after="0"/>
      </w:pPr>
      <w:r>
        <w:t>Reconfiguration of enrollment servi</w:t>
      </w:r>
      <w:r w:rsidR="006B79F7">
        <w:t>ces into a one-stop shop</w:t>
      </w:r>
      <w:r>
        <w:t xml:space="preserve">.  Again, this will hopefully improve efficiency and assist in increasing yield rate from the </w:t>
      </w:r>
      <w:r w:rsidR="006B79F7">
        <w:t xml:space="preserve">FTF </w:t>
      </w:r>
      <w:r>
        <w:t xml:space="preserve">application pool.  </w:t>
      </w:r>
      <w:r>
        <w:rPr>
          <w:b/>
          <w:color w:val="FF0000"/>
        </w:rPr>
        <w:t>This effort is already underway.</w:t>
      </w:r>
    </w:p>
    <w:p w14:paraId="332C1CA4" w14:textId="6D93BD2F" w:rsidR="007534D9" w:rsidRDefault="007534D9" w:rsidP="007534D9">
      <w:pPr>
        <w:pStyle w:val="ListParagraph"/>
        <w:numPr>
          <w:ilvl w:val="0"/>
          <w:numId w:val="20"/>
        </w:numPr>
        <w:spacing w:after="0"/>
      </w:pPr>
      <w:r>
        <w:t>Integrated Enrollment Management Support Structure.  Fully develop the recently established Enrollment Management Support Structure, which i</w:t>
      </w:r>
      <w:r w:rsidR="003151FF">
        <w:t>s a series of partner committees across campus</w:t>
      </w:r>
      <w:r>
        <w:t xml:space="preserve"> addressing success of the University of Memphis </w:t>
      </w:r>
      <w:r w:rsidR="003151FF">
        <w:t xml:space="preserve">recruitment </w:t>
      </w:r>
      <w:r w:rsidR="003151FF">
        <w:lastRenderedPageBreak/>
        <w:t>and enrollment programs including</w:t>
      </w:r>
      <w:r>
        <w:t xml:space="preserve"> recruitment, orientation, scholarship, retention, and </w:t>
      </w:r>
      <w:r w:rsidR="003151FF">
        <w:t xml:space="preserve">related </w:t>
      </w:r>
      <w:r>
        <w:t xml:space="preserve">outcomes.  </w:t>
      </w:r>
      <w:r>
        <w:rPr>
          <w:b/>
          <w:color w:val="FF0000"/>
        </w:rPr>
        <w:t>This effort is already underway.</w:t>
      </w:r>
    </w:p>
    <w:p w14:paraId="689437A1" w14:textId="1FA8C66F" w:rsidR="00EB3526" w:rsidRPr="002607B2" w:rsidRDefault="002607B2" w:rsidP="007534D9">
      <w:pPr>
        <w:pStyle w:val="ListParagraph"/>
        <w:numPr>
          <w:ilvl w:val="0"/>
          <w:numId w:val="20"/>
        </w:numPr>
        <w:spacing w:after="0"/>
      </w:pPr>
      <w:r>
        <w:t xml:space="preserve">Strategic coordination with colleges to involve deans and faculty in the recruitment process.  National data indicate that one of the most effective strategies for </w:t>
      </w:r>
      <w:r w:rsidR="00917C48">
        <w:t>increasing</w:t>
      </w:r>
      <w:r>
        <w:t xml:space="preserve"> yield rates among applicants is the direct involvement of faculty.  </w:t>
      </w:r>
      <w:r w:rsidR="007534D9">
        <w:t>The hope i</w:t>
      </w:r>
      <w:r w:rsidR="00917C48">
        <w:t xml:space="preserve">s to create the concept of the </w:t>
      </w:r>
      <w:r w:rsidR="00917C48" w:rsidRPr="00917C48">
        <w:rPr>
          <w:i/>
        </w:rPr>
        <w:t>Recruitment Moment</w:t>
      </w:r>
      <w:r w:rsidR="007534D9">
        <w:t xml:space="preserve"> among the various departments, colleges, and offices on the campus.  The </w:t>
      </w:r>
      <w:r w:rsidR="007534D9" w:rsidRPr="00917C48">
        <w:rPr>
          <w:i/>
        </w:rPr>
        <w:t xml:space="preserve">Recruitment Moment </w:t>
      </w:r>
      <w:r w:rsidR="007534D9">
        <w:t xml:space="preserve">is brief but can be a powerful moment.  The term represents the moment in a dialogue where the other person, interpreted as potential student, is anxious to hear what someone has to say and the time can be used to provide as much information as possible until the moment disappears.  These </w:t>
      </w:r>
      <w:r w:rsidR="007534D9" w:rsidRPr="00917C48">
        <w:rPr>
          <w:i/>
        </w:rPr>
        <w:t>Recruitment Moments</w:t>
      </w:r>
      <w:r w:rsidR="007534D9">
        <w:t xml:space="preserve"> may be topic specific and short-lived, but it provides an experience to the potential student, and possibly the family of that student, that engages them in a desire to know more about the University and feel connected to the University by more than a webpage interaction.  The Recruitment Moment encapsulates the achievement of the desired communication effect, also known as persuasion, to the receiver.  This concept enforces the reality that </w:t>
      </w:r>
      <w:r w:rsidR="007534D9" w:rsidRPr="007534D9">
        <w:rPr>
          <w:b/>
        </w:rPr>
        <w:t>everyone</w:t>
      </w:r>
      <w:r w:rsidR="007534D9">
        <w:t xml:space="preserve"> has the potential to impact the common goal of enrollment growth and retention whenever there is engagement with a potential student.  </w:t>
      </w:r>
      <w:r w:rsidRPr="007534D9">
        <w:rPr>
          <w:b/>
          <w:color w:val="FF0000"/>
        </w:rPr>
        <w:t>This effort is already underway.</w:t>
      </w:r>
    </w:p>
    <w:p w14:paraId="1E2DF440" w14:textId="6402769E" w:rsidR="001C3B34" w:rsidRPr="006B79F7" w:rsidRDefault="001C3B34" w:rsidP="00EB3526">
      <w:pPr>
        <w:pStyle w:val="ListParagraph"/>
        <w:numPr>
          <w:ilvl w:val="0"/>
          <w:numId w:val="20"/>
        </w:numPr>
        <w:spacing w:after="0"/>
      </w:pPr>
      <w:r>
        <w:t xml:space="preserve">Continuing use of CollegeWeekLive </w:t>
      </w:r>
      <w:r w:rsidR="007534D9">
        <w:t xml:space="preserve"> </w:t>
      </w:r>
      <w:r>
        <w:t>(</w:t>
      </w:r>
      <w:hyperlink r:id="rId9" w:history="1">
        <w:r w:rsidRPr="003602D6">
          <w:rPr>
            <w:rStyle w:val="Hyperlink"/>
          </w:rPr>
          <w:t>http://www.collegeweeklive.com/en_CA/guest/app-colleges</w:t>
        </w:r>
      </w:hyperlink>
      <w:r>
        <w:t xml:space="preserve">) to broaden national exposure and increase application pool.  This effort has proven promising in its early stages.  </w:t>
      </w:r>
      <w:r>
        <w:rPr>
          <w:b/>
          <w:color w:val="FF0000"/>
        </w:rPr>
        <w:t>This effort is already underway.</w:t>
      </w:r>
    </w:p>
    <w:p w14:paraId="08F06936" w14:textId="743A754F" w:rsidR="006B79F7" w:rsidRPr="006B79F7" w:rsidRDefault="006B79F7" w:rsidP="00EB3526">
      <w:pPr>
        <w:pStyle w:val="ListParagraph"/>
        <w:numPr>
          <w:ilvl w:val="0"/>
          <w:numId w:val="20"/>
        </w:numPr>
        <w:spacing w:after="0"/>
      </w:pPr>
      <w:r>
        <w:t xml:space="preserve">Dual enrollment initiative.  </w:t>
      </w:r>
      <w:r w:rsidR="002638C0">
        <w:t>A dual enrollment growth plan has been developed</w:t>
      </w:r>
      <w:r w:rsidR="00917C48">
        <w:t>, distributed,</w:t>
      </w:r>
      <w:r w:rsidR="002638C0">
        <w:t xml:space="preserve"> and has already exceeded</w:t>
      </w:r>
      <w:r w:rsidR="00917C48">
        <w:t xml:space="preserve"> 2013 target numbers.  </w:t>
      </w:r>
      <w:r w:rsidR="002D68CE">
        <w:t>The yield rate from this group has been surprisingly low, i.e.</w:t>
      </w:r>
      <w:r w:rsidR="00E07FEA">
        <w:t>,</w:t>
      </w:r>
      <w:r w:rsidR="002D68CE">
        <w:t xml:space="preserve"> 25%.  Bill Akey has been reassigned to work on this initiative alongside enrollment services.  </w:t>
      </w:r>
      <w:r w:rsidR="002D68CE">
        <w:rPr>
          <w:b/>
          <w:color w:val="FF0000"/>
        </w:rPr>
        <w:t xml:space="preserve">This effort is already underway.  </w:t>
      </w:r>
    </w:p>
    <w:p w14:paraId="380F9EB1" w14:textId="47729168" w:rsidR="007534D9" w:rsidRDefault="006B79F7" w:rsidP="00EB3526">
      <w:pPr>
        <w:pStyle w:val="ListParagraph"/>
        <w:numPr>
          <w:ilvl w:val="0"/>
          <w:numId w:val="20"/>
        </w:numPr>
        <w:spacing w:after="0"/>
      </w:pPr>
      <w:r>
        <w:t xml:space="preserve">Application </w:t>
      </w:r>
      <w:r w:rsidR="00917C48">
        <w:t xml:space="preserve">fee </w:t>
      </w:r>
      <w:r>
        <w:t>waiver program.  The possibility of waiving the application fee for targeted groups or uniformly across all applicants (FTF and transfers) is being explored.</w:t>
      </w:r>
      <w:r w:rsidR="003151FF">
        <w:t xml:space="preserve">  </w:t>
      </w:r>
      <w:r w:rsidR="003151FF">
        <w:rPr>
          <w:b/>
          <w:color w:val="FF0000"/>
        </w:rPr>
        <w:t xml:space="preserve">This program is being actively explored. </w:t>
      </w:r>
    </w:p>
    <w:p w14:paraId="54C2AA66" w14:textId="69904797" w:rsidR="006B79F7" w:rsidRPr="001C3B34" w:rsidRDefault="007534D9" w:rsidP="00EB3526">
      <w:pPr>
        <w:pStyle w:val="ListParagraph"/>
        <w:numPr>
          <w:ilvl w:val="0"/>
          <w:numId w:val="20"/>
        </w:numPr>
        <w:spacing w:after="0"/>
      </w:pPr>
      <w:r>
        <w:t>Devel</w:t>
      </w:r>
      <w:r w:rsidR="003151FF">
        <w:t>opment of a co-op program.  Kevin Roper is working with Kelly Penwell (Director of Applied and Experiential Learning, including internships) to launch this effort in the coming year.</w:t>
      </w:r>
      <w:r w:rsidR="006B79F7">
        <w:t xml:space="preserve">  </w:t>
      </w:r>
      <w:r w:rsidR="00917C48">
        <w:t xml:space="preserve">This should have substantial impact on student interest and, in particular, FTF. </w:t>
      </w:r>
    </w:p>
    <w:p w14:paraId="05AF3949" w14:textId="77777777" w:rsidR="001C3B34" w:rsidRDefault="001C3B34" w:rsidP="001C3B34">
      <w:pPr>
        <w:spacing w:after="0"/>
      </w:pPr>
    </w:p>
    <w:p w14:paraId="26FBFF87" w14:textId="2B93C4AF" w:rsidR="002607B2" w:rsidRDefault="001C3B34" w:rsidP="001C3B34">
      <w:pPr>
        <w:spacing w:after="0"/>
        <w:rPr>
          <w:b/>
          <w:color w:val="FF0000"/>
        </w:rPr>
      </w:pPr>
      <w:r>
        <w:rPr>
          <w:b/>
        </w:rPr>
        <w:t xml:space="preserve">90+ Initiative </w:t>
      </w:r>
      <w:r>
        <w:t xml:space="preserve">(Targeting students no </w:t>
      </w:r>
      <w:r w:rsidR="006355EA">
        <w:t xml:space="preserve">longer enrolled with 90+ hours </w:t>
      </w:r>
      <w:r>
        <w:t>that have not re-enrolled at another institution of higher education).</w:t>
      </w:r>
      <w:r w:rsidR="00C16F7E">
        <w:t xml:space="preserve">  Dr. Dick Irwin (University College) has already launched this initiative targeting students leaving the University of Memphis with 90+ credit hours, but not enrolling in another institution of higher education.  The possibility of an </w:t>
      </w:r>
      <w:r w:rsidR="00C16F7E">
        <w:rPr>
          <w:i/>
        </w:rPr>
        <w:t>academic amnesty program</w:t>
      </w:r>
      <w:r w:rsidR="00C16F7E">
        <w:t xml:space="preserve"> is being explored.  Some of these students are unable to pay </w:t>
      </w:r>
      <w:r w:rsidR="003A2B61">
        <w:t>accumulated fees that would be required in order to complete their degrees. The possibility of waiving those fees is being explored, along with efforts to raise private donations to cover these expenses.   A concept analysis has already been completed and a financial analysis is pending</w:t>
      </w:r>
      <w:r w:rsidR="006355EA">
        <w:t>, with</w:t>
      </w:r>
      <w:r w:rsidR="003A2B61">
        <w:t xml:space="preserve"> feedback from the initial pilot. </w:t>
      </w:r>
      <w:r w:rsidR="003A2B61">
        <w:rPr>
          <w:b/>
          <w:color w:val="FF0000"/>
        </w:rPr>
        <w:t xml:space="preserve">This effort is already underway.  </w:t>
      </w:r>
    </w:p>
    <w:p w14:paraId="2BD6C74E" w14:textId="77777777" w:rsidR="000B54B3" w:rsidRDefault="000B54B3" w:rsidP="001C3B34">
      <w:pPr>
        <w:spacing w:after="0"/>
        <w:rPr>
          <w:b/>
          <w:color w:val="FF0000"/>
        </w:rPr>
      </w:pPr>
    </w:p>
    <w:p w14:paraId="69A8B541" w14:textId="01B355BC" w:rsidR="000B54B3" w:rsidRDefault="000B54B3" w:rsidP="001C3B34">
      <w:pPr>
        <w:spacing w:after="0"/>
        <w:rPr>
          <w:b/>
          <w:color w:val="FF0000"/>
        </w:rPr>
      </w:pPr>
      <w:r>
        <w:rPr>
          <w:b/>
        </w:rPr>
        <w:t xml:space="preserve">Online Growth Initiative.  </w:t>
      </w:r>
      <w:r>
        <w:t>An online development master plan h</w:t>
      </w:r>
      <w:r w:rsidR="006355EA">
        <w:t xml:space="preserve">as already been distributed.  An </w:t>
      </w:r>
      <w:r>
        <w:t>external partner has been engaged (i.e.</w:t>
      </w:r>
      <w:r w:rsidR="00E07FEA">
        <w:t>,</w:t>
      </w:r>
      <w:r>
        <w:t xml:space="preserve"> Academic Partnerships) to assist with a pilot study targeting </w:t>
      </w:r>
      <w:r>
        <w:lastRenderedPageBreak/>
        <w:t xml:space="preserve">enrollment growth in a </w:t>
      </w:r>
      <w:r w:rsidR="006355EA">
        <w:t xml:space="preserve">limited </w:t>
      </w:r>
      <w:r>
        <w:t xml:space="preserve">number of graduate programs (Nursing, Education, Business), with a goal of launching this year.   An external partner is needed since we do not have the infrastructure to gain national exposure and reach with our programs, along with provide the essential </w:t>
      </w:r>
      <w:r w:rsidR="006355EA">
        <w:t xml:space="preserve">infrastructure </w:t>
      </w:r>
      <w:r>
        <w:t>support necessary to assist enrolled students.  Academic Partnerships has the capacity to provide a full service experience for our students, from enrollment through graduation.  The recent IT integration allows for additional resources to be assigned to Dr. Lattimore to assist in the development of program content fo</w:t>
      </w:r>
      <w:r w:rsidR="006355EA">
        <w:t xml:space="preserve">r transition to online delivery (all other services will be provide by Academic Partnerships).  </w:t>
      </w:r>
      <w:r>
        <w:t xml:space="preserve">A contract proposal is being actively reviewed.  </w:t>
      </w:r>
      <w:r>
        <w:rPr>
          <w:b/>
          <w:color w:val="FF0000"/>
        </w:rPr>
        <w:t xml:space="preserve">This effort is already underway.  </w:t>
      </w:r>
    </w:p>
    <w:p w14:paraId="183CDC03" w14:textId="77777777" w:rsidR="000B54B3" w:rsidRDefault="000B54B3" w:rsidP="001C3B34">
      <w:pPr>
        <w:spacing w:after="0"/>
        <w:rPr>
          <w:b/>
          <w:color w:val="FF0000"/>
        </w:rPr>
      </w:pPr>
    </w:p>
    <w:p w14:paraId="1200977D" w14:textId="3FC47BB8" w:rsidR="005A2782" w:rsidRDefault="000B54B3" w:rsidP="005A2782">
      <w:pPr>
        <w:spacing w:after="0"/>
        <w:rPr>
          <w:b/>
          <w:color w:val="FF0000"/>
        </w:rPr>
      </w:pPr>
      <w:r>
        <w:rPr>
          <w:b/>
        </w:rPr>
        <w:t>Veterans</w:t>
      </w:r>
      <w:r w:rsidR="005A2782">
        <w:rPr>
          <w:b/>
        </w:rPr>
        <w:t xml:space="preserve">.  </w:t>
      </w:r>
      <w:r w:rsidR="005A2782">
        <w:t xml:space="preserve">A University of Memphis Veterans Center has been designated and is in the process of being equipped and staffed. In addition, a Veterans Enrollment Taskforce is being formed.  A </w:t>
      </w:r>
      <w:r w:rsidR="005A2782" w:rsidRPr="001842FF">
        <w:rPr>
          <w:i/>
        </w:rPr>
        <w:t xml:space="preserve">volunteer </w:t>
      </w:r>
      <w:r w:rsidR="005A2782">
        <w:t xml:space="preserve">outside consultant has been engaged (a retired military officer). She was responsible for developing and implementing a system-wide Veterans effort for the University of Georgia System.  A </w:t>
      </w:r>
      <w:r w:rsidR="001842FF">
        <w:t xml:space="preserve">strategic </w:t>
      </w:r>
      <w:r w:rsidR="005A2782">
        <w:t>plan has already been developed and is available for review. The Taskforce will be appointed this week</w:t>
      </w:r>
      <w:r w:rsidR="00103DF1">
        <w:t>.</w:t>
      </w:r>
      <w:r w:rsidR="005A2782">
        <w:t xml:space="preserve"> </w:t>
      </w:r>
      <w:r w:rsidR="005A2782">
        <w:rPr>
          <w:b/>
          <w:color w:val="FF0000"/>
        </w:rPr>
        <w:t xml:space="preserve">This effort is already underway.  </w:t>
      </w:r>
    </w:p>
    <w:p w14:paraId="7B9443EC" w14:textId="37F375F2" w:rsidR="000B54B3" w:rsidRDefault="000B54B3" w:rsidP="001C3B34">
      <w:pPr>
        <w:spacing w:after="0"/>
      </w:pPr>
    </w:p>
    <w:p w14:paraId="3BC05055" w14:textId="580DF002" w:rsidR="005A2782" w:rsidRPr="005A2782" w:rsidRDefault="005A2782" w:rsidP="001C3B34">
      <w:pPr>
        <w:spacing w:after="0"/>
      </w:pPr>
      <w:r>
        <w:rPr>
          <w:b/>
        </w:rPr>
        <w:t xml:space="preserve">Non-traditional Students. </w:t>
      </w:r>
      <w:r>
        <w:t>Although a specific campaign has yet to be developed for non-traditional students, one will be developed and implemented in the spring.</w:t>
      </w:r>
      <w:r w:rsidR="00922969">
        <w:t xml:space="preserve">  Dr. Irwin (and a Core Competency Taskforce) has already completed a proposal for a “competency-based curriculum model” that is making its way through the Faculty Senate, Undergraduate Council, and Graduate Council.  </w:t>
      </w:r>
      <w:r w:rsidR="00922969" w:rsidRPr="001842FF">
        <w:rPr>
          <w:u w:val="single"/>
        </w:rPr>
        <w:t>Adoption of a competency-based model will allow us to fully engage non-traditional students.</w:t>
      </w:r>
      <w:r w:rsidR="00922969">
        <w:t xml:space="preserve">  </w:t>
      </w:r>
      <w:r w:rsidR="00922969">
        <w:rPr>
          <w:b/>
          <w:color w:val="FF0000"/>
        </w:rPr>
        <w:t xml:space="preserve">This effort is already underway.  </w:t>
      </w:r>
    </w:p>
    <w:p w14:paraId="12478A1D" w14:textId="77777777" w:rsidR="005A2782" w:rsidRDefault="005A2782" w:rsidP="001C3B34">
      <w:pPr>
        <w:spacing w:after="0"/>
        <w:rPr>
          <w:b/>
        </w:rPr>
      </w:pPr>
    </w:p>
    <w:p w14:paraId="1FFAE4B7" w14:textId="305D728F" w:rsidR="00ED7E62" w:rsidRDefault="005A2782" w:rsidP="00ED7E62">
      <w:pPr>
        <w:spacing w:after="0"/>
        <w:rPr>
          <w:b/>
          <w:color w:val="FF0000"/>
        </w:rPr>
      </w:pPr>
      <w:r>
        <w:rPr>
          <w:b/>
        </w:rPr>
        <w:t xml:space="preserve">Lambuth.  </w:t>
      </w:r>
      <w:r>
        <w:t>As noted above, projections for the Lambuth campus are included above, all consistent with original projections when the campus was acquired.  The search for a permanent vice-provost for the Lambuth campus has been launched. An executive committee was formed several months ago, comprised of deans from the colleges with programs currently at Lambuth.  Each of the involved programs (</w:t>
      </w:r>
      <w:r w:rsidR="001842FF">
        <w:t xml:space="preserve">i.e., </w:t>
      </w:r>
      <w:r>
        <w:t>Nursing, Music Industry, Business, Biology</w:t>
      </w:r>
      <w:r w:rsidR="00ED7E62">
        <w:t>)</w:t>
      </w:r>
      <w:r w:rsidR="001842FF">
        <w:t xml:space="preserve"> are </w:t>
      </w:r>
      <w:r w:rsidR="00ED7E62">
        <w:t xml:space="preserve">fully engaged in efforts to grow their </w:t>
      </w:r>
      <w:r w:rsidR="001842FF">
        <w:t xml:space="preserve">respective </w:t>
      </w:r>
      <w:r w:rsidR="00ED7E62">
        <w:t xml:space="preserve">programs.  A new administrative structure is also being implemented at Lambuth </w:t>
      </w:r>
      <w:r w:rsidR="001842FF">
        <w:t xml:space="preserve">in an effort </w:t>
      </w:r>
      <w:r w:rsidR="00ED7E62">
        <w:t xml:space="preserve">to facilitate greater efficiency and effectiveness in day-to-day operations. </w:t>
      </w:r>
      <w:r w:rsidR="00ED7E62">
        <w:rPr>
          <w:b/>
          <w:color w:val="FF0000"/>
        </w:rPr>
        <w:t xml:space="preserve">This effort is already underway.  </w:t>
      </w:r>
    </w:p>
    <w:p w14:paraId="74BC0129" w14:textId="77777777" w:rsidR="000B54B3" w:rsidRPr="000B54B3" w:rsidRDefault="000B54B3" w:rsidP="001C3B34">
      <w:pPr>
        <w:spacing w:after="0"/>
        <w:rPr>
          <w:b/>
        </w:rPr>
      </w:pPr>
    </w:p>
    <w:p w14:paraId="50989D58" w14:textId="0834957B" w:rsidR="00146CB5" w:rsidRDefault="00146CB5" w:rsidP="00146CB5">
      <w:pPr>
        <w:spacing w:after="0"/>
        <w:rPr>
          <w:b/>
          <w:color w:val="FF0000"/>
        </w:rPr>
      </w:pPr>
      <w:r>
        <w:rPr>
          <w:b/>
        </w:rPr>
        <w:t>Cecil C. Humphreys Law School.</w:t>
      </w:r>
      <w:r>
        <w:t xml:space="preserve"> The issue of out-of-state tuition has proven a significant barrier for out of state enrollment.  The waiver program </w:t>
      </w:r>
      <w:r w:rsidR="001842FF">
        <w:t xml:space="preserve">in the Law School </w:t>
      </w:r>
      <w:r>
        <w:t>has been expanded (previously at a cap of 5 per year). It is anticipated that the waiver expansion will result in significant growth over the coming five years.</w:t>
      </w:r>
      <w:r w:rsidR="001842FF">
        <w:t xml:space="preserve">  Current growth estimates are quite moderate. </w:t>
      </w:r>
      <w:r>
        <w:rPr>
          <w:b/>
          <w:color w:val="FF0000"/>
        </w:rPr>
        <w:t xml:space="preserve">This effort is already underway.  </w:t>
      </w:r>
    </w:p>
    <w:p w14:paraId="5E640C89" w14:textId="6C1A8621" w:rsidR="00550B0E" w:rsidRPr="00146CB5" w:rsidRDefault="00550B0E" w:rsidP="00F6584D">
      <w:pPr>
        <w:spacing w:after="0"/>
        <w:rPr>
          <w:b/>
        </w:rPr>
      </w:pPr>
    </w:p>
    <w:p w14:paraId="2BF5D4B1" w14:textId="6A2F78F0" w:rsidR="00146CB5" w:rsidRDefault="00ED7E62" w:rsidP="00F6584D">
      <w:pPr>
        <w:spacing w:after="0"/>
        <w:rPr>
          <w:b/>
          <w:color w:val="FF0000"/>
        </w:rPr>
      </w:pPr>
      <w:r>
        <w:rPr>
          <w:b/>
        </w:rPr>
        <w:t xml:space="preserve">Enrollment Growth Through Enhanced Retention.  </w:t>
      </w:r>
      <w:r>
        <w:t xml:space="preserve">As noted above, each college dean has been challenged to improve retention, working directly with vice-provost Shannon Blanton.  </w:t>
      </w:r>
      <w:r w:rsidR="00E42934">
        <w:t xml:space="preserve">I am asking Dr. Blanton to head a </w:t>
      </w:r>
      <w:r w:rsidR="00E42934" w:rsidRPr="00EC7948">
        <w:rPr>
          <w:i/>
        </w:rPr>
        <w:t>Deans Retention Enhancement Committee</w:t>
      </w:r>
      <w:r w:rsidR="00E42934">
        <w:t xml:space="preserve"> starting immediately, tasked with evaluating and implementing retention strategies in the colleges, departments, and programs.  </w:t>
      </w:r>
      <w:r>
        <w:t xml:space="preserve">Similarly, I recently challenged Dr. Blanton to review all of our active retention efforts, with recommendations </w:t>
      </w:r>
      <w:r>
        <w:lastRenderedPageBreak/>
        <w:t xml:space="preserve">pending on potential elimination, consolidation, and our expansion.  </w:t>
      </w:r>
      <w:r w:rsidR="00E42934">
        <w:t>In particular, programs currently being evaluated include: ACAD Leaders (peer-mentoring), ACE Scholars (academic coaching), and the First Scholars Program (remarkably successful). I have been in a</w:t>
      </w:r>
      <w:r w:rsidR="00EC7948">
        <w:t xml:space="preserve">ctive discussion with the Suder </w:t>
      </w:r>
      <w:r w:rsidR="00E42934">
        <w:t xml:space="preserve">Foundation about the possibility of expanding the First Scholars Program to involve a much larger student cohort.  Dr. Blanton has already implemented a Retention and Degree Completion Planning Group.  </w:t>
      </w:r>
      <w:r w:rsidR="00EC7948">
        <w:rPr>
          <w:b/>
          <w:color w:val="FF0000"/>
        </w:rPr>
        <w:t xml:space="preserve">This effort is already underway.  </w:t>
      </w:r>
    </w:p>
    <w:p w14:paraId="3CC283EC" w14:textId="63CF8289" w:rsidR="005E4462" w:rsidRDefault="005E4462" w:rsidP="005E4462">
      <w:pPr>
        <w:pStyle w:val="ListParagraph"/>
        <w:numPr>
          <w:ilvl w:val="0"/>
          <w:numId w:val="22"/>
        </w:numPr>
        <w:spacing w:after="0"/>
      </w:pPr>
      <w:r w:rsidRPr="00D41220">
        <w:rPr>
          <w:b/>
        </w:rPr>
        <w:t>Development of a Writing Center</w:t>
      </w:r>
      <w:r>
        <w:t>.  Early evidence suggests that the ability to communicate i</w:t>
      </w:r>
      <w:r w:rsidR="00312DCA">
        <w:t>n both oral and written form is</w:t>
      </w:r>
      <w:r>
        <w:t xml:space="preserve"> essential for success at the university-level.  The vast majority of major public universities</w:t>
      </w:r>
      <w:r w:rsidR="00312DCA">
        <w:t xml:space="preserve"> provide </w:t>
      </w:r>
      <w:r w:rsidR="00312DCA">
        <w:rPr>
          <w:i/>
        </w:rPr>
        <w:t>writing centers</w:t>
      </w:r>
      <w:r w:rsidR="00312DCA">
        <w:t xml:space="preserve"> to assist students.  The inability to communicate effectively in written form is one of the most frequent complaints</w:t>
      </w:r>
      <w:r w:rsidR="00D41220">
        <w:t xml:space="preserve"> registered by faculty members.</w:t>
      </w:r>
      <w:r w:rsidR="00312DCA">
        <w:t xml:space="preserve">   </w:t>
      </w:r>
      <w:r w:rsidR="00D41220">
        <w:t xml:space="preserve">Proposals to establish a writing center have been offered over the past decade.  We will explore the possibility of starting a limited service writing center this coming academic year.  </w:t>
      </w:r>
    </w:p>
    <w:p w14:paraId="036E4ECD" w14:textId="77777777" w:rsidR="00E42934" w:rsidRDefault="00E42934" w:rsidP="00F6584D">
      <w:pPr>
        <w:spacing w:after="0"/>
      </w:pPr>
    </w:p>
    <w:p w14:paraId="5C563EE7" w14:textId="3A3F77B7" w:rsidR="006B73BF" w:rsidRDefault="006B73BF" w:rsidP="00F6584D">
      <w:pPr>
        <w:spacing w:after="0"/>
        <w:rPr>
          <w:b/>
          <w:color w:val="FF0000"/>
        </w:rPr>
      </w:pPr>
      <w:r>
        <w:rPr>
          <w:b/>
        </w:rPr>
        <w:t xml:space="preserve">Degree Pathway Initiative.  </w:t>
      </w:r>
      <w:r w:rsidR="001842FF">
        <w:t xml:space="preserve">An efficient and effective degree pathway is essential to retention and timely graduation for our students.  </w:t>
      </w:r>
      <w:r w:rsidR="00EC7948">
        <w:t xml:space="preserve">As of last week, I have requested that all deans develop a </w:t>
      </w:r>
      <w:r w:rsidR="00EC7948">
        <w:rPr>
          <w:i/>
        </w:rPr>
        <w:t>degree pathway taskforce</w:t>
      </w:r>
      <w:r w:rsidR="00EC7948">
        <w:t xml:space="preserve">, charged with developing efficient and effective degree pathways for their respective programs.  Gary Donhardt, in the Office of Institutional Research, has developed a degree mapping program that will help us move effectively </w:t>
      </w:r>
      <w:r w:rsidR="00EC7948">
        <w:rPr>
          <w:i/>
        </w:rPr>
        <w:t>redirect</w:t>
      </w:r>
      <w:r w:rsidR="00EC7948">
        <w:t xml:space="preserve"> students with targeted major degree clusters, ensuring that they get maximum benefit from previously completed coursework.  </w:t>
      </w:r>
      <w:r w:rsidR="00EC7948">
        <w:rPr>
          <w:b/>
          <w:color w:val="FF0000"/>
        </w:rPr>
        <w:t xml:space="preserve">This effort is already underway.  </w:t>
      </w:r>
    </w:p>
    <w:p w14:paraId="65318232" w14:textId="5CC479B2" w:rsidR="001B11AF" w:rsidRPr="001B11AF" w:rsidRDefault="001B11AF" w:rsidP="001B11AF">
      <w:pPr>
        <w:pStyle w:val="ListParagraph"/>
        <w:numPr>
          <w:ilvl w:val="0"/>
          <w:numId w:val="21"/>
        </w:numPr>
        <w:spacing w:after="0"/>
        <w:rPr>
          <w:b/>
        </w:rPr>
      </w:pPr>
      <w:r w:rsidRPr="001B11AF">
        <w:rPr>
          <w:b/>
        </w:rPr>
        <w:t xml:space="preserve">As part of the degree pathway initiative, the possibility of a “tuition contract” is being explored. </w:t>
      </w:r>
      <w:r w:rsidR="00112C94">
        <w:rPr>
          <w:b/>
        </w:rPr>
        <w:t xml:space="preserve">The contract would provide a direct financial incentive to the student if </w:t>
      </w:r>
      <w:r w:rsidR="00A60E4F">
        <w:rPr>
          <w:b/>
        </w:rPr>
        <w:t>he or she</w:t>
      </w:r>
      <w:r w:rsidR="00112C94">
        <w:rPr>
          <w:b/>
        </w:rPr>
        <w:t xml:space="preserve"> me</w:t>
      </w:r>
      <w:r w:rsidR="00A60E4F">
        <w:rPr>
          <w:b/>
        </w:rPr>
        <w:t>e</w:t>
      </w:r>
      <w:r w:rsidR="00112C94">
        <w:rPr>
          <w:b/>
        </w:rPr>
        <w:t>t</w:t>
      </w:r>
      <w:r w:rsidR="00A60E4F">
        <w:rPr>
          <w:b/>
        </w:rPr>
        <w:t>s</w:t>
      </w:r>
      <w:r w:rsidR="00112C94">
        <w:rPr>
          <w:b/>
        </w:rPr>
        <w:t xml:space="preserve"> performance standards (i.e.</w:t>
      </w:r>
      <w:r w:rsidR="00A60E4F">
        <w:rPr>
          <w:b/>
        </w:rPr>
        <w:t>,</w:t>
      </w:r>
      <w:r w:rsidR="00112C94">
        <w:rPr>
          <w:b/>
        </w:rPr>
        <w:t xml:space="preserve"> requisite number of hours in the 5-year degree pathway </w:t>
      </w:r>
      <w:r w:rsidR="00112C94">
        <w:rPr>
          <w:b/>
          <w:u w:val="single"/>
        </w:rPr>
        <w:t>and</w:t>
      </w:r>
      <w:r w:rsidR="00112C94">
        <w:rPr>
          <w:b/>
        </w:rPr>
        <w:t xml:space="preserve"> a minimum GPA of 2.7).  The incentive would include no increase in tuition costs for the coming academic year, along with up to 6 hours of “free” courses in the following summer session.  Utilizing the summer session would allow us to maximize currently under-enrolled sessions, along</w:t>
      </w:r>
      <w:r w:rsidR="00F20C21">
        <w:rPr>
          <w:b/>
        </w:rPr>
        <w:t xml:space="preserve"> with</w:t>
      </w:r>
      <w:r w:rsidR="00112C94">
        <w:rPr>
          <w:b/>
        </w:rPr>
        <w:t xml:space="preserve"> containing potential financial losses.</w:t>
      </w:r>
      <w:r w:rsidR="00F20C21">
        <w:rPr>
          <w:b/>
        </w:rPr>
        <w:t xml:space="preserve">  It would essentially move to the campus to a 12-month model, along with providing additional opportunities for faculty to earn additional income.  </w:t>
      </w:r>
      <w:r w:rsidR="00112C94">
        <w:rPr>
          <w:b/>
        </w:rPr>
        <w:t xml:space="preserve">Business and Finance is currently projecting a financial model for the proposed “tuition contract” and the necessary administrative management structure is being explored. </w:t>
      </w:r>
    </w:p>
    <w:p w14:paraId="2F35A189" w14:textId="77777777" w:rsidR="003B1AF4" w:rsidRDefault="003B1AF4" w:rsidP="00F6584D">
      <w:pPr>
        <w:spacing w:after="0"/>
        <w:rPr>
          <w:b/>
          <w:color w:val="FF0000"/>
        </w:rPr>
      </w:pPr>
    </w:p>
    <w:p w14:paraId="3782E115" w14:textId="6050534D" w:rsidR="003B1AF4" w:rsidRPr="003B1AF4" w:rsidRDefault="003B1AF4" w:rsidP="00F6584D">
      <w:pPr>
        <w:spacing w:after="0"/>
      </w:pPr>
      <w:proofErr w:type="gramStart"/>
      <w:r w:rsidRPr="003B1AF4">
        <w:rPr>
          <w:b/>
        </w:rPr>
        <w:t>Faculty</w:t>
      </w:r>
      <w:r>
        <w:rPr>
          <w:b/>
        </w:rPr>
        <w:t xml:space="preserve"> Performance Bonus Program.</w:t>
      </w:r>
      <w:proofErr w:type="gramEnd"/>
      <w:r>
        <w:rPr>
          <w:b/>
        </w:rPr>
        <w:t xml:space="preserve">  </w:t>
      </w:r>
      <w:r>
        <w:t>The possibility of a faculty performance bonus program is being explored.  More specifically, faculty and staff would receive a 1% bonus payment at the end of each academic year in which enrollment and retention targets were met.  Senior academic leaders (deans and above) would not be eligible.  Additionally, the highest performing college would receive an additional .5% (total of 1.5%</w:t>
      </w:r>
      <w:r w:rsidR="001B11AF">
        <w:t xml:space="preserve">) payment to faculty and staff.  </w:t>
      </w:r>
      <w:r>
        <w:t>These would be bonus payments, not enduring salary commitments.</w:t>
      </w:r>
      <w:r w:rsidR="001B11AF">
        <w:t xml:space="preserve"> </w:t>
      </w:r>
      <w:r>
        <w:t xml:space="preserve"> A financial model will need to be run in order to assess feasibility.  </w:t>
      </w:r>
      <w:r w:rsidR="001B11AF">
        <w:t xml:space="preserve">There are ethical restrictions on the payment of bonuses to recruitment personnel.  Vice-provost Betty Huff is exploring the possible structure for any incentive program targeting enrollment and retention.  </w:t>
      </w:r>
    </w:p>
    <w:p w14:paraId="3CAED316" w14:textId="77777777" w:rsidR="00EC7948" w:rsidRDefault="00EC7948" w:rsidP="00F6584D">
      <w:pPr>
        <w:spacing w:after="0"/>
      </w:pPr>
    </w:p>
    <w:p w14:paraId="1507500A" w14:textId="77777777" w:rsidR="0082054C" w:rsidRDefault="0082054C" w:rsidP="00F6584D">
      <w:pPr>
        <w:spacing w:after="0"/>
      </w:pPr>
    </w:p>
    <w:p w14:paraId="54964C2D" w14:textId="77777777" w:rsidR="0082054C" w:rsidRDefault="0082054C" w:rsidP="00F6584D">
      <w:pPr>
        <w:spacing w:after="0"/>
      </w:pPr>
    </w:p>
    <w:p w14:paraId="24F52B32" w14:textId="77777777" w:rsidR="0082054C" w:rsidRDefault="0082054C" w:rsidP="00F6584D">
      <w:pPr>
        <w:spacing w:after="0"/>
      </w:pPr>
    </w:p>
    <w:p w14:paraId="6C86F6A0" w14:textId="77777777" w:rsidR="0082054C" w:rsidRDefault="0082054C" w:rsidP="00F6584D">
      <w:pPr>
        <w:spacing w:after="0"/>
      </w:pPr>
    </w:p>
    <w:p w14:paraId="10B053AF" w14:textId="77777777" w:rsidR="0082054C" w:rsidRPr="00EC7948" w:rsidRDefault="0082054C" w:rsidP="00F6584D">
      <w:pPr>
        <w:spacing w:after="0"/>
      </w:pPr>
    </w:p>
    <w:p w14:paraId="5844B925" w14:textId="2643F5E3" w:rsidR="00550B0E" w:rsidRDefault="000B54B3" w:rsidP="00F6584D">
      <w:pPr>
        <w:spacing w:after="0"/>
        <w:rPr>
          <w:b/>
        </w:rPr>
      </w:pPr>
      <w:r>
        <w:rPr>
          <w:b/>
        </w:rPr>
        <w:t>_____________________________________________________________________________________</w:t>
      </w:r>
    </w:p>
    <w:p w14:paraId="68C63780" w14:textId="77777777" w:rsidR="00F6584D" w:rsidRDefault="00F6584D" w:rsidP="00F6584D">
      <w:pPr>
        <w:spacing w:after="0"/>
        <w:rPr>
          <w:b/>
        </w:rPr>
      </w:pPr>
      <w:r>
        <w:rPr>
          <w:b/>
        </w:rPr>
        <w:t>University of Memphis Mission Statement</w:t>
      </w:r>
    </w:p>
    <w:p w14:paraId="174C23DC" w14:textId="77777777" w:rsidR="00F6584D" w:rsidRDefault="00F6584D" w:rsidP="00F6584D">
      <w:pPr>
        <w:spacing w:after="0"/>
        <w:rPr>
          <w:b/>
        </w:rPr>
      </w:pPr>
    </w:p>
    <w:p w14:paraId="5F087A26" w14:textId="77777777" w:rsidR="00F6584D" w:rsidRDefault="00F6584D" w:rsidP="00F6584D">
      <w:pPr>
        <w:spacing w:after="0"/>
      </w:pPr>
      <w:r>
        <w:t>The University of Memphis is a learner-centered metropolitan research university providing high quality educational experience</w:t>
      </w:r>
      <w:r w:rsidR="008A2F49">
        <w:t>s</w:t>
      </w:r>
      <w:r>
        <w:t xml:space="preserve"> while pursuing new knowledge through research, artistic expression, and interdisciplinary and engaged scholarship.</w:t>
      </w:r>
    </w:p>
    <w:p w14:paraId="6342EBBA" w14:textId="77777777" w:rsidR="00F6584D" w:rsidRDefault="00F6584D" w:rsidP="00F6584D">
      <w:pPr>
        <w:spacing w:after="0"/>
      </w:pPr>
    </w:p>
    <w:p w14:paraId="195A3C4D" w14:textId="77777777" w:rsidR="00F6584D" w:rsidRDefault="00F6584D" w:rsidP="00F6584D">
      <w:pPr>
        <w:spacing w:after="0"/>
      </w:pPr>
      <w:r>
        <w:rPr>
          <w:b/>
        </w:rPr>
        <w:t>University of Memphis Values Statement</w:t>
      </w:r>
    </w:p>
    <w:p w14:paraId="35C827DF" w14:textId="77777777" w:rsidR="00F6584D" w:rsidRDefault="00F6584D" w:rsidP="00F6584D">
      <w:pPr>
        <w:spacing w:after="0"/>
      </w:pPr>
    </w:p>
    <w:p w14:paraId="5AAE5DF1" w14:textId="77777777" w:rsidR="00F6584D" w:rsidRDefault="00F6584D" w:rsidP="00F6584D">
      <w:pPr>
        <w:spacing w:after="0"/>
      </w:pPr>
      <w:r>
        <w:t>The University of Memphis, as an engaged learning community, celebrates:</w:t>
      </w:r>
    </w:p>
    <w:p w14:paraId="6E56CEC6" w14:textId="77777777" w:rsidR="00F6584D" w:rsidRDefault="00F6584D" w:rsidP="00F6584D">
      <w:pPr>
        <w:pStyle w:val="ListParagraph"/>
        <w:numPr>
          <w:ilvl w:val="0"/>
          <w:numId w:val="1"/>
        </w:numPr>
        <w:spacing w:after="0"/>
      </w:pPr>
      <w:r>
        <w:t>The pursuit of excellence in teaching and research as the highest measures of successful achievement.</w:t>
      </w:r>
    </w:p>
    <w:p w14:paraId="1347752C" w14:textId="77777777" w:rsidR="00F6584D" w:rsidRDefault="00F6584D" w:rsidP="00F6584D">
      <w:pPr>
        <w:pStyle w:val="ListParagraph"/>
        <w:numPr>
          <w:ilvl w:val="0"/>
          <w:numId w:val="1"/>
        </w:numPr>
        <w:spacing w:after="0"/>
      </w:pPr>
      <w:r>
        <w:t>Interdisciplinary collaboration, artistic expression, and research as vehicles for leveraging our resources, solving problems, and multiplying our accomplishments.</w:t>
      </w:r>
    </w:p>
    <w:p w14:paraId="3766DA8C" w14:textId="77777777" w:rsidR="00F6584D" w:rsidRDefault="00F6584D" w:rsidP="00F6584D">
      <w:pPr>
        <w:pStyle w:val="ListParagraph"/>
        <w:numPr>
          <w:ilvl w:val="0"/>
          <w:numId w:val="1"/>
        </w:numPr>
        <w:spacing w:after="0"/>
      </w:pPr>
      <w:r>
        <w:t>The transfer and dissemination of knowledge with community stakeholders for the intellectual, economic, and social advancement of our community.</w:t>
      </w:r>
    </w:p>
    <w:p w14:paraId="7FDB0439" w14:textId="77777777" w:rsidR="00F6584D" w:rsidRDefault="00F6584D" w:rsidP="00F6584D">
      <w:pPr>
        <w:pStyle w:val="ListParagraph"/>
        <w:numPr>
          <w:ilvl w:val="0"/>
          <w:numId w:val="1"/>
        </w:numPr>
        <w:spacing w:after="0"/>
      </w:pPr>
      <w:r>
        <w:t>Innovation and creativity in everything we do.</w:t>
      </w:r>
    </w:p>
    <w:p w14:paraId="103DF6F8" w14:textId="77777777" w:rsidR="00F6584D" w:rsidRDefault="00F6584D" w:rsidP="00F6584D">
      <w:pPr>
        <w:pStyle w:val="ListParagraph"/>
        <w:numPr>
          <w:ilvl w:val="0"/>
          <w:numId w:val="1"/>
        </w:numPr>
        <w:spacing w:after="0"/>
      </w:pPr>
      <w:r>
        <w:t>Respect for diversity and individual worth.</w:t>
      </w:r>
    </w:p>
    <w:p w14:paraId="3438501A" w14:textId="77777777" w:rsidR="00F6584D" w:rsidRDefault="00F6584D" w:rsidP="00F6584D">
      <w:pPr>
        <w:pStyle w:val="ListParagraph"/>
        <w:numPr>
          <w:ilvl w:val="0"/>
          <w:numId w:val="1"/>
        </w:numPr>
        <w:spacing w:after="0"/>
      </w:pPr>
      <w:r>
        <w:t>Integrity and transparency in all our actions.</w:t>
      </w:r>
    </w:p>
    <w:p w14:paraId="6F65BE46" w14:textId="77777777" w:rsidR="00F6584D" w:rsidRDefault="00F6584D" w:rsidP="00F6584D">
      <w:pPr>
        <w:pStyle w:val="ListParagraph"/>
        <w:numPr>
          <w:ilvl w:val="0"/>
          <w:numId w:val="1"/>
        </w:numPr>
        <w:spacing w:after="0"/>
      </w:pPr>
      <w:r>
        <w:t>Responsible stewardship and conservation of resources.</w:t>
      </w:r>
    </w:p>
    <w:p w14:paraId="2D41728D" w14:textId="77777777" w:rsidR="00F6584D" w:rsidRDefault="00F6584D" w:rsidP="00F6584D">
      <w:pPr>
        <w:pStyle w:val="ListParagraph"/>
        <w:numPr>
          <w:ilvl w:val="0"/>
          <w:numId w:val="1"/>
        </w:numPr>
        <w:spacing w:after="0"/>
      </w:pPr>
      <w:r>
        <w:t>Stewardship of wisdom, knowledge, and information created by our predecessors.</w:t>
      </w:r>
    </w:p>
    <w:p w14:paraId="42D44D16" w14:textId="77777777" w:rsidR="00F6584D" w:rsidRDefault="00F6584D" w:rsidP="00F6584D">
      <w:pPr>
        <w:pStyle w:val="ListParagraph"/>
        <w:numPr>
          <w:ilvl w:val="0"/>
          <w:numId w:val="1"/>
        </w:numPr>
        <w:spacing w:after="0"/>
      </w:pPr>
      <w:r>
        <w:t>Leadership and involvement in the economic, social, and professional growth of Memphis, the state of Tennessee, and the nation.</w:t>
      </w:r>
    </w:p>
    <w:p w14:paraId="659E11DE" w14:textId="77777777" w:rsidR="00F6584D" w:rsidRDefault="00F6584D" w:rsidP="00F6584D">
      <w:pPr>
        <w:spacing w:after="0"/>
      </w:pPr>
    </w:p>
    <w:p w14:paraId="0A650C7D" w14:textId="77777777" w:rsidR="00905BB2" w:rsidRDefault="00905BB2" w:rsidP="00F6584D">
      <w:pPr>
        <w:spacing w:after="0"/>
      </w:pPr>
    </w:p>
    <w:p w14:paraId="3F04F838" w14:textId="5F55CD44" w:rsidR="00905BB2" w:rsidRDefault="00905BB2" w:rsidP="007534D9">
      <w:pPr>
        <w:spacing w:after="0"/>
      </w:pPr>
    </w:p>
    <w:p w14:paraId="3CB353C9" w14:textId="77777777" w:rsidR="00126FB7" w:rsidRDefault="00126FB7" w:rsidP="007702C4">
      <w:pPr>
        <w:spacing w:after="0"/>
      </w:pPr>
    </w:p>
    <w:p w14:paraId="1A7EFBF3" w14:textId="77777777" w:rsidR="00427308" w:rsidRDefault="00427308" w:rsidP="00E659EC">
      <w:pPr>
        <w:spacing w:after="0"/>
        <w:rPr>
          <w:i/>
        </w:rPr>
      </w:pPr>
    </w:p>
    <w:sectPr w:rsidR="0042730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1F17A" w14:textId="77777777" w:rsidR="007440D2" w:rsidRDefault="007440D2" w:rsidP="00DB0ED8">
      <w:pPr>
        <w:spacing w:after="0" w:line="240" w:lineRule="auto"/>
      </w:pPr>
      <w:r>
        <w:separator/>
      </w:r>
    </w:p>
  </w:endnote>
  <w:endnote w:type="continuationSeparator" w:id="0">
    <w:p w14:paraId="0829859F" w14:textId="77777777" w:rsidR="007440D2" w:rsidRDefault="007440D2" w:rsidP="00DB0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0E505" w14:textId="77777777" w:rsidR="00791E2D" w:rsidRDefault="00791E2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125298"/>
      <w:docPartObj>
        <w:docPartGallery w:val="Page Numbers (Bottom of Page)"/>
        <w:docPartUnique/>
      </w:docPartObj>
    </w:sdtPr>
    <w:sdtEndPr>
      <w:rPr>
        <w:noProof/>
      </w:rPr>
    </w:sdtEndPr>
    <w:sdtContent>
      <w:p w14:paraId="756CD5C2" w14:textId="77777777" w:rsidR="00146CB5" w:rsidRDefault="00146CB5">
        <w:pPr>
          <w:pStyle w:val="Footer"/>
          <w:jc w:val="right"/>
        </w:pPr>
        <w:r>
          <w:fldChar w:fldCharType="begin"/>
        </w:r>
        <w:r>
          <w:instrText xml:space="preserve"> PAGE   \* MERGEFORMAT </w:instrText>
        </w:r>
        <w:r>
          <w:fldChar w:fldCharType="separate"/>
        </w:r>
        <w:r w:rsidR="00F52D3E">
          <w:rPr>
            <w:noProof/>
          </w:rPr>
          <w:t>5</w:t>
        </w:r>
        <w:r>
          <w:rPr>
            <w:noProof/>
          </w:rPr>
          <w:fldChar w:fldCharType="end"/>
        </w:r>
      </w:p>
    </w:sdtContent>
  </w:sdt>
  <w:p w14:paraId="6B51607F" w14:textId="77777777" w:rsidR="00146CB5" w:rsidRDefault="00146CB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DE816" w14:textId="77777777" w:rsidR="00791E2D" w:rsidRDefault="00791E2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31F6B" w14:textId="77777777" w:rsidR="007440D2" w:rsidRDefault="007440D2" w:rsidP="00DB0ED8">
      <w:pPr>
        <w:spacing w:after="0" w:line="240" w:lineRule="auto"/>
      </w:pPr>
      <w:r>
        <w:separator/>
      </w:r>
    </w:p>
  </w:footnote>
  <w:footnote w:type="continuationSeparator" w:id="0">
    <w:p w14:paraId="5709D450" w14:textId="77777777" w:rsidR="007440D2" w:rsidRDefault="007440D2" w:rsidP="00DB0ED8">
      <w:pPr>
        <w:spacing w:after="0" w:line="240" w:lineRule="auto"/>
      </w:pPr>
      <w:r>
        <w:continuationSeparator/>
      </w:r>
    </w:p>
  </w:footnote>
  <w:footnote w:id="1">
    <w:p w14:paraId="73FCC579" w14:textId="05453A76" w:rsidR="00146CB5" w:rsidRDefault="00146CB5">
      <w:pPr>
        <w:pStyle w:val="FootnoteText"/>
      </w:pPr>
      <w:r>
        <w:rPr>
          <w:rStyle w:val="FootnoteReference"/>
        </w:rPr>
        <w:footnoteRef/>
      </w:r>
      <w:r>
        <w:t xml:space="preserve"> FSBE=Fogelman College of Business and Economics; CCFA=College of Communications and Fine Arts; CEHHS=College of Education, Health, and Human Sciences; COE=College of Engineering; UC=University College; LSON=</w:t>
      </w:r>
      <w:proofErr w:type="spellStart"/>
      <w:r>
        <w:t>Lo</w:t>
      </w:r>
      <w:r w:rsidR="006F2856">
        <w:t>e</w:t>
      </w:r>
      <w:r>
        <w:t>wenberg</w:t>
      </w:r>
      <w:proofErr w:type="spellEnd"/>
      <w:r>
        <w:t xml:space="preserve"> School of Nursing</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E36C0" w14:textId="77777777" w:rsidR="00791E2D" w:rsidRDefault="00791E2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0B02A" w14:textId="4EAB9C61" w:rsidR="00791E2D" w:rsidRDefault="00791E2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87EE1" w14:textId="77777777" w:rsidR="00791E2D" w:rsidRDefault="00791E2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38FF"/>
    <w:multiLevelType w:val="hybridMultilevel"/>
    <w:tmpl w:val="B376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12D5F"/>
    <w:multiLevelType w:val="hybridMultilevel"/>
    <w:tmpl w:val="A328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45660"/>
    <w:multiLevelType w:val="hybridMultilevel"/>
    <w:tmpl w:val="B9C8A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F80800"/>
    <w:multiLevelType w:val="hybridMultilevel"/>
    <w:tmpl w:val="6C36D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7444D1"/>
    <w:multiLevelType w:val="hybridMultilevel"/>
    <w:tmpl w:val="84262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A64F97"/>
    <w:multiLevelType w:val="hybridMultilevel"/>
    <w:tmpl w:val="1182F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7A049E"/>
    <w:multiLevelType w:val="hybridMultilevel"/>
    <w:tmpl w:val="A31AB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D45446"/>
    <w:multiLevelType w:val="hybridMultilevel"/>
    <w:tmpl w:val="8848A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C724FB"/>
    <w:multiLevelType w:val="hybridMultilevel"/>
    <w:tmpl w:val="DD5C91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04339FB"/>
    <w:multiLevelType w:val="hybridMultilevel"/>
    <w:tmpl w:val="3794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895451"/>
    <w:multiLevelType w:val="hybridMultilevel"/>
    <w:tmpl w:val="D10EB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631B08"/>
    <w:multiLevelType w:val="hybridMultilevel"/>
    <w:tmpl w:val="66461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BC28F2"/>
    <w:multiLevelType w:val="hybridMultilevel"/>
    <w:tmpl w:val="F452A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4440D93"/>
    <w:multiLevelType w:val="hybridMultilevel"/>
    <w:tmpl w:val="CF407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06016E"/>
    <w:multiLevelType w:val="hybridMultilevel"/>
    <w:tmpl w:val="B6CE9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B358B6"/>
    <w:multiLevelType w:val="hybridMultilevel"/>
    <w:tmpl w:val="F800C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A71039"/>
    <w:multiLevelType w:val="hybridMultilevel"/>
    <w:tmpl w:val="B9CEBCA8"/>
    <w:lvl w:ilvl="0" w:tplc="29864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9D27305"/>
    <w:multiLevelType w:val="hybridMultilevel"/>
    <w:tmpl w:val="8CD4328E"/>
    <w:lvl w:ilvl="0" w:tplc="298644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694198"/>
    <w:multiLevelType w:val="hybridMultilevel"/>
    <w:tmpl w:val="F772702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B15735"/>
    <w:multiLevelType w:val="hybridMultilevel"/>
    <w:tmpl w:val="8CD68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96A31E6"/>
    <w:multiLevelType w:val="hybridMultilevel"/>
    <w:tmpl w:val="29C6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D34F46"/>
    <w:multiLevelType w:val="hybridMultilevel"/>
    <w:tmpl w:val="D2AE19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4"/>
  </w:num>
  <w:num w:numId="3">
    <w:abstractNumId w:val="10"/>
  </w:num>
  <w:num w:numId="4">
    <w:abstractNumId w:val="6"/>
  </w:num>
  <w:num w:numId="5">
    <w:abstractNumId w:val="12"/>
  </w:num>
  <w:num w:numId="6">
    <w:abstractNumId w:val="19"/>
  </w:num>
  <w:num w:numId="7">
    <w:abstractNumId w:val="3"/>
  </w:num>
  <w:num w:numId="8">
    <w:abstractNumId w:val="0"/>
  </w:num>
  <w:num w:numId="9">
    <w:abstractNumId w:val="15"/>
  </w:num>
  <w:num w:numId="10">
    <w:abstractNumId w:val="9"/>
  </w:num>
  <w:num w:numId="11">
    <w:abstractNumId w:val="1"/>
  </w:num>
  <w:num w:numId="12">
    <w:abstractNumId w:val="11"/>
  </w:num>
  <w:num w:numId="13">
    <w:abstractNumId w:val="20"/>
  </w:num>
  <w:num w:numId="14">
    <w:abstractNumId w:val="5"/>
  </w:num>
  <w:num w:numId="15">
    <w:abstractNumId w:val="7"/>
  </w:num>
  <w:num w:numId="16">
    <w:abstractNumId w:val="14"/>
  </w:num>
  <w:num w:numId="17">
    <w:abstractNumId w:val="2"/>
  </w:num>
  <w:num w:numId="18">
    <w:abstractNumId w:val="18"/>
  </w:num>
  <w:num w:numId="19">
    <w:abstractNumId w:val="16"/>
  </w:num>
  <w:num w:numId="20">
    <w:abstractNumId w:val="17"/>
  </w:num>
  <w:num w:numId="21">
    <w:abstractNumId w:val="2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84D"/>
    <w:rsid w:val="0000617C"/>
    <w:rsid w:val="00013E5F"/>
    <w:rsid w:val="00036DBB"/>
    <w:rsid w:val="0005221E"/>
    <w:rsid w:val="00061212"/>
    <w:rsid w:val="00067CFF"/>
    <w:rsid w:val="0007111E"/>
    <w:rsid w:val="000A7C74"/>
    <w:rsid w:val="000B54B3"/>
    <w:rsid w:val="000D04B3"/>
    <w:rsid w:val="00103DF1"/>
    <w:rsid w:val="0010487A"/>
    <w:rsid w:val="00112C94"/>
    <w:rsid w:val="00126FB7"/>
    <w:rsid w:val="00146CB5"/>
    <w:rsid w:val="00182F32"/>
    <w:rsid w:val="001842FF"/>
    <w:rsid w:val="001951B4"/>
    <w:rsid w:val="001B11AF"/>
    <w:rsid w:val="001B31B7"/>
    <w:rsid w:val="001C3B34"/>
    <w:rsid w:val="001F589E"/>
    <w:rsid w:val="00217353"/>
    <w:rsid w:val="00225E2A"/>
    <w:rsid w:val="002607B2"/>
    <w:rsid w:val="002638C0"/>
    <w:rsid w:val="002C2AAB"/>
    <w:rsid w:val="002D68CE"/>
    <w:rsid w:val="002D6EAE"/>
    <w:rsid w:val="002E44DB"/>
    <w:rsid w:val="00300042"/>
    <w:rsid w:val="0030055F"/>
    <w:rsid w:val="0031051B"/>
    <w:rsid w:val="00312DCA"/>
    <w:rsid w:val="00313AE9"/>
    <w:rsid w:val="003151FF"/>
    <w:rsid w:val="00340C41"/>
    <w:rsid w:val="00343EA3"/>
    <w:rsid w:val="003A14ED"/>
    <w:rsid w:val="003A2B61"/>
    <w:rsid w:val="003B1AF4"/>
    <w:rsid w:val="003E2B60"/>
    <w:rsid w:val="00414266"/>
    <w:rsid w:val="00427308"/>
    <w:rsid w:val="00442E21"/>
    <w:rsid w:val="004508EA"/>
    <w:rsid w:val="00452EE0"/>
    <w:rsid w:val="00495A87"/>
    <w:rsid w:val="0049753B"/>
    <w:rsid w:val="004B38D7"/>
    <w:rsid w:val="004D5C2D"/>
    <w:rsid w:val="004D7B99"/>
    <w:rsid w:val="0053176A"/>
    <w:rsid w:val="00550B0E"/>
    <w:rsid w:val="005A03A8"/>
    <w:rsid w:val="005A2782"/>
    <w:rsid w:val="005A58A5"/>
    <w:rsid w:val="005E4462"/>
    <w:rsid w:val="0062264C"/>
    <w:rsid w:val="006331ED"/>
    <w:rsid w:val="006355EA"/>
    <w:rsid w:val="00640898"/>
    <w:rsid w:val="0069221F"/>
    <w:rsid w:val="006949C1"/>
    <w:rsid w:val="006A7206"/>
    <w:rsid w:val="006B1777"/>
    <w:rsid w:val="006B73BF"/>
    <w:rsid w:val="006B79F7"/>
    <w:rsid w:val="006F2856"/>
    <w:rsid w:val="00711933"/>
    <w:rsid w:val="00721E56"/>
    <w:rsid w:val="00724F55"/>
    <w:rsid w:val="0072749E"/>
    <w:rsid w:val="007440D2"/>
    <w:rsid w:val="007470CF"/>
    <w:rsid w:val="007534D9"/>
    <w:rsid w:val="007702C4"/>
    <w:rsid w:val="00776BE9"/>
    <w:rsid w:val="00791481"/>
    <w:rsid w:val="00791E2D"/>
    <w:rsid w:val="007A18F1"/>
    <w:rsid w:val="007C3826"/>
    <w:rsid w:val="007C6691"/>
    <w:rsid w:val="007D509A"/>
    <w:rsid w:val="007E1F0E"/>
    <w:rsid w:val="0080561F"/>
    <w:rsid w:val="00807167"/>
    <w:rsid w:val="0082054C"/>
    <w:rsid w:val="00836621"/>
    <w:rsid w:val="008923E2"/>
    <w:rsid w:val="008A2F49"/>
    <w:rsid w:val="008B282A"/>
    <w:rsid w:val="008C506E"/>
    <w:rsid w:val="0090091F"/>
    <w:rsid w:val="00905BB2"/>
    <w:rsid w:val="00917C48"/>
    <w:rsid w:val="00922969"/>
    <w:rsid w:val="00934A77"/>
    <w:rsid w:val="0097076E"/>
    <w:rsid w:val="00973D4A"/>
    <w:rsid w:val="0098566F"/>
    <w:rsid w:val="009879F7"/>
    <w:rsid w:val="00994E72"/>
    <w:rsid w:val="009A3A1D"/>
    <w:rsid w:val="00A105FB"/>
    <w:rsid w:val="00A12B55"/>
    <w:rsid w:val="00A60E4F"/>
    <w:rsid w:val="00A63262"/>
    <w:rsid w:val="00A90E8F"/>
    <w:rsid w:val="00A910DF"/>
    <w:rsid w:val="00AC4979"/>
    <w:rsid w:val="00AD3DAA"/>
    <w:rsid w:val="00AE0274"/>
    <w:rsid w:val="00AE4AC5"/>
    <w:rsid w:val="00AF68DA"/>
    <w:rsid w:val="00B00DBB"/>
    <w:rsid w:val="00B06A2E"/>
    <w:rsid w:val="00B215E4"/>
    <w:rsid w:val="00B80730"/>
    <w:rsid w:val="00BA0B4B"/>
    <w:rsid w:val="00BE0A1A"/>
    <w:rsid w:val="00C16F7E"/>
    <w:rsid w:val="00C23A56"/>
    <w:rsid w:val="00C301FC"/>
    <w:rsid w:val="00C528B1"/>
    <w:rsid w:val="00C923C5"/>
    <w:rsid w:val="00CA1645"/>
    <w:rsid w:val="00CB0756"/>
    <w:rsid w:val="00CC2FDA"/>
    <w:rsid w:val="00D20CF5"/>
    <w:rsid w:val="00D41220"/>
    <w:rsid w:val="00D81A0D"/>
    <w:rsid w:val="00D94620"/>
    <w:rsid w:val="00DB0ED8"/>
    <w:rsid w:val="00DB160A"/>
    <w:rsid w:val="00DC11B1"/>
    <w:rsid w:val="00DD6686"/>
    <w:rsid w:val="00DD7106"/>
    <w:rsid w:val="00DE22DE"/>
    <w:rsid w:val="00E07FEA"/>
    <w:rsid w:val="00E42934"/>
    <w:rsid w:val="00E659EC"/>
    <w:rsid w:val="00E935E4"/>
    <w:rsid w:val="00EB246D"/>
    <w:rsid w:val="00EB3526"/>
    <w:rsid w:val="00EC0ED8"/>
    <w:rsid w:val="00EC7948"/>
    <w:rsid w:val="00ED7E62"/>
    <w:rsid w:val="00EE4AB3"/>
    <w:rsid w:val="00EF3D03"/>
    <w:rsid w:val="00F15E58"/>
    <w:rsid w:val="00F16E57"/>
    <w:rsid w:val="00F20C21"/>
    <w:rsid w:val="00F27CD6"/>
    <w:rsid w:val="00F469FB"/>
    <w:rsid w:val="00F52D3E"/>
    <w:rsid w:val="00F6584D"/>
    <w:rsid w:val="00F761D1"/>
    <w:rsid w:val="00F858DE"/>
    <w:rsid w:val="00FA2147"/>
    <w:rsid w:val="00FB17E9"/>
    <w:rsid w:val="00FC5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DA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84D"/>
    <w:pPr>
      <w:ind w:left="720"/>
      <w:contextualSpacing/>
    </w:pPr>
  </w:style>
  <w:style w:type="paragraph" w:styleId="Header">
    <w:name w:val="header"/>
    <w:basedOn w:val="Normal"/>
    <w:link w:val="HeaderChar"/>
    <w:uiPriority w:val="99"/>
    <w:unhideWhenUsed/>
    <w:rsid w:val="00DB0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ED8"/>
  </w:style>
  <w:style w:type="paragraph" w:styleId="Footer">
    <w:name w:val="footer"/>
    <w:basedOn w:val="Normal"/>
    <w:link w:val="FooterChar"/>
    <w:uiPriority w:val="99"/>
    <w:unhideWhenUsed/>
    <w:rsid w:val="00DB0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ED8"/>
  </w:style>
  <w:style w:type="character" w:styleId="Emphasis">
    <w:name w:val="Emphasis"/>
    <w:basedOn w:val="DefaultParagraphFont"/>
    <w:uiPriority w:val="20"/>
    <w:qFormat/>
    <w:rsid w:val="00C23A56"/>
    <w:rPr>
      <w:i/>
      <w:iCs/>
    </w:rPr>
  </w:style>
  <w:style w:type="paragraph" w:styleId="BalloonText">
    <w:name w:val="Balloon Text"/>
    <w:basedOn w:val="Normal"/>
    <w:link w:val="BalloonTextChar"/>
    <w:uiPriority w:val="99"/>
    <w:semiHidden/>
    <w:unhideWhenUsed/>
    <w:rsid w:val="007E1F0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1F0E"/>
    <w:rPr>
      <w:rFonts w:ascii="Lucida Grande" w:hAnsi="Lucida Grande" w:cs="Lucida Grande"/>
      <w:sz w:val="18"/>
      <w:szCs w:val="18"/>
    </w:rPr>
  </w:style>
  <w:style w:type="paragraph" w:styleId="FootnoteText">
    <w:name w:val="footnote text"/>
    <w:basedOn w:val="Normal"/>
    <w:link w:val="FootnoteTextChar"/>
    <w:uiPriority w:val="99"/>
    <w:unhideWhenUsed/>
    <w:rsid w:val="00F858DE"/>
    <w:pPr>
      <w:spacing w:after="0" w:line="240" w:lineRule="auto"/>
    </w:pPr>
    <w:rPr>
      <w:sz w:val="24"/>
      <w:szCs w:val="24"/>
    </w:rPr>
  </w:style>
  <w:style w:type="character" w:customStyle="1" w:styleId="FootnoteTextChar">
    <w:name w:val="Footnote Text Char"/>
    <w:basedOn w:val="DefaultParagraphFont"/>
    <w:link w:val="FootnoteText"/>
    <w:uiPriority w:val="99"/>
    <w:rsid w:val="00F858DE"/>
    <w:rPr>
      <w:sz w:val="24"/>
      <w:szCs w:val="24"/>
    </w:rPr>
  </w:style>
  <w:style w:type="character" w:styleId="FootnoteReference">
    <w:name w:val="footnote reference"/>
    <w:basedOn w:val="DefaultParagraphFont"/>
    <w:uiPriority w:val="99"/>
    <w:unhideWhenUsed/>
    <w:rsid w:val="00F858DE"/>
    <w:rPr>
      <w:vertAlign w:val="superscript"/>
    </w:rPr>
  </w:style>
  <w:style w:type="character" w:styleId="Hyperlink">
    <w:name w:val="Hyperlink"/>
    <w:basedOn w:val="DefaultParagraphFont"/>
    <w:uiPriority w:val="99"/>
    <w:unhideWhenUsed/>
    <w:rsid w:val="001C3B3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84D"/>
    <w:pPr>
      <w:ind w:left="720"/>
      <w:contextualSpacing/>
    </w:pPr>
  </w:style>
  <w:style w:type="paragraph" w:styleId="Header">
    <w:name w:val="header"/>
    <w:basedOn w:val="Normal"/>
    <w:link w:val="HeaderChar"/>
    <w:uiPriority w:val="99"/>
    <w:unhideWhenUsed/>
    <w:rsid w:val="00DB0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ED8"/>
  </w:style>
  <w:style w:type="paragraph" w:styleId="Footer">
    <w:name w:val="footer"/>
    <w:basedOn w:val="Normal"/>
    <w:link w:val="FooterChar"/>
    <w:uiPriority w:val="99"/>
    <w:unhideWhenUsed/>
    <w:rsid w:val="00DB0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ED8"/>
  </w:style>
  <w:style w:type="character" w:styleId="Emphasis">
    <w:name w:val="Emphasis"/>
    <w:basedOn w:val="DefaultParagraphFont"/>
    <w:uiPriority w:val="20"/>
    <w:qFormat/>
    <w:rsid w:val="00C23A56"/>
    <w:rPr>
      <w:i/>
      <w:iCs/>
    </w:rPr>
  </w:style>
  <w:style w:type="paragraph" w:styleId="BalloonText">
    <w:name w:val="Balloon Text"/>
    <w:basedOn w:val="Normal"/>
    <w:link w:val="BalloonTextChar"/>
    <w:uiPriority w:val="99"/>
    <w:semiHidden/>
    <w:unhideWhenUsed/>
    <w:rsid w:val="007E1F0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1F0E"/>
    <w:rPr>
      <w:rFonts w:ascii="Lucida Grande" w:hAnsi="Lucida Grande" w:cs="Lucida Grande"/>
      <w:sz w:val="18"/>
      <w:szCs w:val="18"/>
    </w:rPr>
  </w:style>
  <w:style w:type="paragraph" w:styleId="FootnoteText">
    <w:name w:val="footnote text"/>
    <w:basedOn w:val="Normal"/>
    <w:link w:val="FootnoteTextChar"/>
    <w:uiPriority w:val="99"/>
    <w:unhideWhenUsed/>
    <w:rsid w:val="00F858DE"/>
    <w:pPr>
      <w:spacing w:after="0" w:line="240" w:lineRule="auto"/>
    </w:pPr>
    <w:rPr>
      <w:sz w:val="24"/>
      <w:szCs w:val="24"/>
    </w:rPr>
  </w:style>
  <w:style w:type="character" w:customStyle="1" w:styleId="FootnoteTextChar">
    <w:name w:val="Footnote Text Char"/>
    <w:basedOn w:val="DefaultParagraphFont"/>
    <w:link w:val="FootnoteText"/>
    <w:uiPriority w:val="99"/>
    <w:rsid w:val="00F858DE"/>
    <w:rPr>
      <w:sz w:val="24"/>
      <w:szCs w:val="24"/>
    </w:rPr>
  </w:style>
  <w:style w:type="character" w:styleId="FootnoteReference">
    <w:name w:val="footnote reference"/>
    <w:basedOn w:val="DefaultParagraphFont"/>
    <w:uiPriority w:val="99"/>
    <w:unhideWhenUsed/>
    <w:rsid w:val="00F858DE"/>
    <w:rPr>
      <w:vertAlign w:val="superscript"/>
    </w:rPr>
  </w:style>
  <w:style w:type="character" w:styleId="Hyperlink">
    <w:name w:val="Hyperlink"/>
    <w:basedOn w:val="DefaultParagraphFont"/>
    <w:uiPriority w:val="99"/>
    <w:unhideWhenUsed/>
    <w:rsid w:val="001C3B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50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www.collegeweeklive.com/en_CA/guest/app-colleges"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3003</Words>
  <Characters>17123</Characters>
  <Application>Microsoft Macintosh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J Huff (bjhuff)</dc:creator>
  <cp:lastModifiedBy>Holly</cp:lastModifiedBy>
  <cp:revision>2</cp:revision>
  <cp:lastPrinted>2013-11-04T14:28:00Z</cp:lastPrinted>
  <dcterms:created xsi:type="dcterms:W3CDTF">2015-05-20T21:57:00Z</dcterms:created>
  <dcterms:modified xsi:type="dcterms:W3CDTF">2015-05-20T21:57:00Z</dcterms:modified>
</cp:coreProperties>
</file>