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DA" w:rsidRPr="00FE4717" w:rsidRDefault="00443ADA" w:rsidP="00443AD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Mid-Tenure Dossier I</w:t>
      </w:r>
      <w:r w:rsidRPr="00FE4717">
        <w:rPr>
          <w:b/>
          <w:sz w:val="28"/>
          <w:szCs w:val="28"/>
        </w:rPr>
        <w:t>nstructions</w:t>
      </w:r>
    </w:p>
    <w:p w:rsidR="004E4CA0" w:rsidRDefault="00443ADA" w:rsidP="00443ADA">
      <w:pPr>
        <w:rPr>
          <w:color w:val="FF0000"/>
        </w:rPr>
      </w:pPr>
      <w:r>
        <w:t xml:space="preserve">Mid-tenure dossiers are to be uploaded in </w:t>
      </w:r>
      <w:proofErr w:type="spellStart"/>
      <w:r>
        <w:t>umdrive</w:t>
      </w:r>
      <w:proofErr w:type="spellEnd"/>
      <w:r>
        <w:t>.  Hard copy dossiers are no longer accepted.  The spring semester deadline is April 1</w:t>
      </w:r>
      <w:r w:rsidRPr="007565D6">
        <w:rPr>
          <w:vertAlign w:val="superscript"/>
        </w:rPr>
        <w:t>st</w:t>
      </w:r>
      <w:r>
        <w:t>.  The fall semester deadline is November 1</w:t>
      </w:r>
      <w:r w:rsidRPr="007565D6">
        <w:rPr>
          <w:vertAlign w:val="superscript"/>
        </w:rPr>
        <w:t>st</w:t>
      </w:r>
      <w:r>
        <w:t xml:space="preserve">.    </w:t>
      </w:r>
    </w:p>
    <w:p w:rsidR="00443ADA" w:rsidRPr="00E01116" w:rsidRDefault="00443ADA" w:rsidP="00443ADA">
      <w:pPr>
        <w:rPr>
          <w:b/>
          <w:u w:val="single"/>
        </w:rPr>
      </w:pPr>
      <w:r w:rsidRPr="00E01116">
        <w:rPr>
          <w:b/>
          <w:u w:val="single"/>
        </w:rPr>
        <w:t xml:space="preserve">Accessing the </w:t>
      </w:r>
      <w:proofErr w:type="spellStart"/>
      <w:r w:rsidRPr="00E01116">
        <w:rPr>
          <w:b/>
          <w:u w:val="single"/>
        </w:rPr>
        <w:t>umdrive</w:t>
      </w:r>
      <w:proofErr w:type="spellEnd"/>
      <w:r w:rsidRPr="00E01116">
        <w:rPr>
          <w:b/>
          <w:u w:val="single"/>
        </w:rPr>
        <w:t xml:space="preserve"> folders</w:t>
      </w:r>
    </w:p>
    <w:p w:rsidR="00443ADA" w:rsidRDefault="00443ADA" w:rsidP="00443ADA">
      <w:pPr>
        <w:pStyle w:val="ListParagraph"/>
        <w:numPr>
          <w:ilvl w:val="0"/>
          <w:numId w:val="1"/>
        </w:numPr>
      </w:pPr>
      <w:r>
        <w:t>Open the Internet Explorer browser.</w:t>
      </w:r>
    </w:p>
    <w:p w:rsidR="00443ADA" w:rsidRDefault="00443ADA" w:rsidP="00443ADA">
      <w:pPr>
        <w:pStyle w:val="ListParagraph"/>
        <w:numPr>
          <w:ilvl w:val="0"/>
          <w:numId w:val="1"/>
        </w:numPr>
      </w:pPr>
      <w:r>
        <w:t xml:space="preserve">Copy and paste </w:t>
      </w:r>
      <w:hyperlink r:id="rId5" w:history="1">
        <w:r w:rsidRPr="00703289">
          <w:rPr>
            <w:rStyle w:val="Hyperlink"/>
          </w:rPr>
          <w:t>https://umdrive.memphis.edu/g-cas-midtenure</w:t>
        </w:r>
      </w:hyperlink>
      <w:r>
        <w:t xml:space="preserve">  into the address line.</w:t>
      </w:r>
    </w:p>
    <w:p w:rsidR="00443ADA" w:rsidRDefault="00443ADA" w:rsidP="00443ADA">
      <w:pPr>
        <w:pStyle w:val="ListParagraph"/>
        <w:numPr>
          <w:ilvl w:val="0"/>
          <w:numId w:val="1"/>
        </w:numPr>
      </w:pPr>
      <w:r>
        <w:t>Click on Open Web View.</w:t>
      </w:r>
    </w:p>
    <w:p w:rsidR="00443ADA" w:rsidRDefault="00443ADA" w:rsidP="00443ADA">
      <w:pPr>
        <w:pStyle w:val="ListParagraph"/>
        <w:numPr>
          <w:ilvl w:val="0"/>
          <w:numId w:val="1"/>
        </w:numPr>
      </w:pPr>
      <w:r>
        <w:t xml:space="preserve">Log in with your </w:t>
      </w:r>
      <w:proofErr w:type="spellStart"/>
      <w:r>
        <w:t>uuid</w:t>
      </w:r>
      <w:proofErr w:type="spellEnd"/>
      <w:r>
        <w:t xml:space="preserve"> and password (same as you do for email).</w:t>
      </w:r>
    </w:p>
    <w:p w:rsidR="00443ADA" w:rsidRDefault="00443ADA" w:rsidP="00443ADA">
      <w:pPr>
        <w:pStyle w:val="ListParagraph"/>
        <w:numPr>
          <w:ilvl w:val="0"/>
          <w:numId w:val="1"/>
        </w:numPr>
      </w:pPr>
      <w:r>
        <w:t>Applicants will have access to their own folders.  Department committee members will have access to all folders for their department.</w:t>
      </w:r>
    </w:p>
    <w:p w:rsidR="00443ADA" w:rsidRDefault="00443ADA" w:rsidP="00443ADA">
      <w:pPr>
        <w:pStyle w:val="ListParagraph"/>
        <w:numPr>
          <w:ilvl w:val="0"/>
          <w:numId w:val="1"/>
        </w:numPr>
      </w:pPr>
      <w:r>
        <w:t>To make accessing the folders easier in the future, create a bookmark by clicking on ‘Bookmarks’ in the gray bar near the top of the screen.</w:t>
      </w:r>
    </w:p>
    <w:p w:rsidR="00443ADA" w:rsidRPr="00E01116" w:rsidRDefault="00443ADA" w:rsidP="00443ADA">
      <w:pPr>
        <w:rPr>
          <w:b/>
          <w:u w:val="single"/>
        </w:rPr>
      </w:pPr>
      <w:r>
        <w:rPr>
          <w:b/>
          <w:u w:val="single"/>
        </w:rPr>
        <w:t>The Review Process</w:t>
      </w:r>
    </w:p>
    <w:p w:rsidR="00443ADA" w:rsidRDefault="00443ADA" w:rsidP="00443ADA">
      <w:pPr>
        <w:pStyle w:val="ListParagraph"/>
        <w:numPr>
          <w:ilvl w:val="0"/>
          <w:numId w:val="2"/>
        </w:numPr>
      </w:pPr>
      <w:r>
        <w:t xml:space="preserve">The applicant uploads the appropriate documents to the applicant folder. </w:t>
      </w:r>
      <w:r>
        <w:rPr>
          <w:color w:val="FF0000"/>
        </w:rPr>
        <w:t>Access will be given in late January and will be stopped according to departmental guidelines (usually in March).</w:t>
      </w:r>
      <w:r w:rsidR="008E0126">
        <w:rPr>
          <w:color w:val="FF0000"/>
        </w:rPr>
        <w:t xml:space="preserve"> Individuals will be sent an email notifying them when their folders have been created and they have been given access. </w:t>
      </w:r>
      <w:r>
        <w:rPr>
          <w:color w:val="FF0000"/>
        </w:rPr>
        <w:t xml:space="preserve"> </w:t>
      </w:r>
      <w:r>
        <w:t xml:space="preserve">Follow the table of contents included in this document.  Be sure to use the numbering system when saving documents.  This will make the documents appear in the correct order.  </w:t>
      </w:r>
    </w:p>
    <w:p w:rsidR="00443ADA" w:rsidRDefault="00443ADA" w:rsidP="00443ADA">
      <w:pPr>
        <w:pStyle w:val="ListParagraph"/>
        <w:numPr>
          <w:ilvl w:val="0"/>
          <w:numId w:val="2"/>
        </w:numPr>
      </w:pPr>
      <w:r>
        <w:t>The applicant notifies the department chair and department T&amp;P committee chair that the dossier is ready for review.</w:t>
      </w:r>
      <w:r>
        <w:rPr>
          <w:color w:val="FF0000"/>
        </w:rPr>
        <w:t xml:space="preserve"> Committee chair notifies CAS (Susan Fitzgerald) so that individual access is stopped and department access is initiated.</w:t>
      </w:r>
    </w:p>
    <w:p w:rsidR="00443ADA" w:rsidRDefault="00443ADA" w:rsidP="00443ADA">
      <w:pPr>
        <w:pStyle w:val="ListParagraph"/>
        <w:numPr>
          <w:ilvl w:val="0"/>
          <w:numId w:val="2"/>
        </w:numPr>
      </w:pPr>
      <w:r>
        <w:t>The department T&amp;P committee reviews the applicant documents.</w:t>
      </w:r>
    </w:p>
    <w:p w:rsidR="00443ADA" w:rsidRDefault="00443ADA" w:rsidP="00443ADA">
      <w:pPr>
        <w:pStyle w:val="ListParagraph"/>
        <w:numPr>
          <w:ilvl w:val="0"/>
          <w:numId w:val="2"/>
        </w:numPr>
      </w:pPr>
      <w:r>
        <w:t>The department T&amp;P committee chair uploads 5.3</w:t>
      </w:r>
      <w:r w:rsidRPr="00F55D44">
        <w:t xml:space="preserve"> </w:t>
      </w:r>
      <w:r>
        <w:t>Mid-T</w:t>
      </w:r>
      <w:r w:rsidRPr="00075D42">
        <w:t>enure Evaluation Statement by Department</w:t>
      </w:r>
      <w:r>
        <w:t xml:space="preserve">.   Be sure to use the numbering system when saving documents.  This will make the documents appear in the correct order. PDF format is recommended. </w:t>
      </w:r>
    </w:p>
    <w:p w:rsidR="00443ADA" w:rsidRDefault="00443ADA" w:rsidP="00443ADA">
      <w:pPr>
        <w:pStyle w:val="ListParagraph"/>
        <w:numPr>
          <w:ilvl w:val="0"/>
          <w:numId w:val="2"/>
        </w:numPr>
      </w:pPr>
      <w:r>
        <w:t xml:space="preserve">The department T&amp;P committee chair notifies the department chair that the Department </w:t>
      </w:r>
      <w:r>
        <w:br/>
        <w:t>Committee Mid-Tenure Statement is ready for review.</w:t>
      </w:r>
    </w:p>
    <w:p w:rsidR="00443ADA" w:rsidRDefault="00443ADA" w:rsidP="00443ADA">
      <w:pPr>
        <w:pStyle w:val="ListParagraph"/>
        <w:numPr>
          <w:ilvl w:val="0"/>
          <w:numId w:val="2"/>
        </w:numPr>
      </w:pPr>
      <w:r>
        <w:t xml:space="preserve">The department chair reviews the materials and uploads 5.4 </w:t>
      </w:r>
      <w:r w:rsidRPr="00075D42">
        <w:t>Mid-Tenure Evaluation Statement by Chair</w:t>
      </w:r>
      <w:r>
        <w:t>.  Be sure to use the numbering system when saving documents.  This will make the documents appear in the correct order.  PDF format is recommended.</w:t>
      </w:r>
    </w:p>
    <w:p w:rsidR="004E4CA0" w:rsidRPr="004E4CA0" w:rsidRDefault="00443ADA" w:rsidP="00443ADA">
      <w:pPr>
        <w:pStyle w:val="ListParagraph"/>
        <w:numPr>
          <w:ilvl w:val="0"/>
          <w:numId w:val="2"/>
        </w:numPr>
      </w:pPr>
      <w:r>
        <w:t xml:space="preserve">The department chair meets with the applicant to discuss the dossier. </w:t>
      </w:r>
    </w:p>
    <w:p w:rsidR="00443ADA" w:rsidRDefault="00443ADA" w:rsidP="00443ADA">
      <w:pPr>
        <w:pStyle w:val="ListParagraph"/>
        <w:numPr>
          <w:ilvl w:val="0"/>
          <w:numId w:val="2"/>
        </w:numPr>
      </w:pPr>
      <w:r>
        <w:t xml:space="preserve">The department chair notifies the dean’s office that the department has completed the process.  </w:t>
      </w:r>
    </w:p>
    <w:p w:rsidR="00443ADA" w:rsidRDefault="00443ADA" w:rsidP="00443ADA">
      <w:pPr>
        <w:pStyle w:val="ListParagraph"/>
        <w:numPr>
          <w:ilvl w:val="0"/>
          <w:numId w:val="2"/>
        </w:numPr>
      </w:pPr>
      <w:r>
        <w:t>The dean’s office contacts the applicant and schedules a meeting with the applicant.</w:t>
      </w:r>
    </w:p>
    <w:p w:rsidR="00443ADA" w:rsidRPr="00210DDB" w:rsidRDefault="00443ADA" w:rsidP="00443ADA">
      <w:pPr>
        <w:rPr>
          <w:b/>
          <w:u w:val="single"/>
        </w:rPr>
      </w:pPr>
      <w:r w:rsidRPr="00210DDB">
        <w:rPr>
          <w:b/>
          <w:u w:val="single"/>
        </w:rPr>
        <w:t>Additional Resources</w:t>
      </w:r>
    </w:p>
    <w:p w:rsidR="00443ADA" w:rsidRDefault="00443ADA" w:rsidP="00443ADA">
      <w:pPr>
        <w:pStyle w:val="ListParagraph"/>
        <w:numPr>
          <w:ilvl w:val="0"/>
          <w:numId w:val="4"/>
        </w:numPr>
      </w:pPr>
      <w:r>
        <w:t xml:space="preserve">Annual Evaluations are archived on the College website at </w:t>
      </w:r>
      <w:hyperlink r:id="rId6" w:history="1">
        <w:r w:rsidRPr="00DB1D3E">
          <w:rPr>
            <w:rStyle w:val="Hyperlink"/>
          </w:rPr>
          <w:t>http://www.memphis.edu/cas/faculty_resources.htm</w:t>
        </w:r>
      </w:hyperlink>
      <w:r>
        <w:t xml:space="preserve">.  Scroll down to the ‘Evaluations’ section.  </w:t>
      </w:r>
    </w:p>
    <w:p w:rsidR="00443ADA" w:rsidRDefault="00443ADA" w:rsidP="00443ADA">
      <w:pPr>
        <w:ind w:left="360"/>
      </w:pPr>
    </w:p>
    <w:p w:rsidR="00443ADA" w:rsidRDefault="00443ADA" w:rsidP="00443ADA">
      <w:pPr>
        <w:pStyle w:val="ListParagraph"/>
        <w:numPr>
          <w:ilvl w:val="0"/>
          <w:numId w:val="4"/>
        </w:numPr>
      </w:pPr>
      <w:r>
        <w:t xml:space="preserve">Tenure and Promotion forms are available on the College website at </w:t>
      </w:r>
      <w:hyperlink r:id="rId7" w:history="1">
        <w:r w:rsidRPr="00DB1D3E">
          <w:rPr>
            <w:rStyle w:val="Hyperlink"/>
          </w:rPr>
          <w:t>http://www.memphis.edu/cas/cas_ten_prom_forms.htm</w:t>
        </w:r>
      </w:hyperlink>
      <w:r>
        <w:t xml:space="preserve">. </w:t>
      </w:r>
    </w:p>
    <w:p w:rsidR="00443ADA" w:rsidRDefault="00925AE6" w:rsidP="00443ADA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rebuchet MS" w:hAnsi="Trebuchet MS"/>
          <w:sz w:val="20"/>
          <w:szCs w:val="20"/>
        </w:rPr>
      </w:pPr>
      <w:hyperlink r:id="rId8" w:history="1">
        <w:r w:rsidR="00443ADA">
          <w:rPr>
            <w:rStyle w:val="Hyperlink"/>
            <w:rFonts w:ascii="Trebuchet MS" w:hAnsi="Trebuchet MS"/>
            <w:sz w:val="20"/>
            <w:szCs w:val="20"/>
          </w:rPr>
          <w:t>Appointment History Form</w:t>
        </w:r>
      </w:hyperlink>
      <w:r w:rsidR="00443ADA">
        <w:rPr>
          <w:rFonts w:ascii="Trebuchet MS" w:hAnsi="Trebuchet MS"/>
          <w:sz w:val="20"/>
          <w:szCs w:val="20"/>
        </w:rPr>
        <w:t xml:space="preserve"> </w:t>
      </w:r>
    </w:p>
    <w:p w:rsidR="00443ADA" w:rsidRDefault="00925AE6" w:rsidP="00443ADA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rebuchet MS" w:hAnsi="Trebuchet MS"/>
          <w:sz w:val="20"/>
          <w:szCs w:val="20"/>
        </w:rPr>
      </w:pPr>
      <w:hyperlink r:id="rId9" w:history="1">
        <w:r w:rsidR="00443ADA">
          <w:rPr>
            <w:rStyle w:val="Hyperlink"/>
            <w:rFonts w:ascii="Trebuchet MS" w:hAnsi="Trebuchet MS"/>
            <w:sz w:val="20"/>
            <w:szCs w:val="20"/>
          </w:rPr>
          <w:t>CV Cover Sheet</w:t>
        </w:r>
      </w:hyperlink>
      <w:r w:rsidR="00443ADA">
        <w:rPr>
          <w:rFonts w:ascii="Trebuchet MS" w:hAnsi="Trebuchet MS"/>
          <w:sz w:val="20"/>
          <w:szCs w:val="20"/>
        </w:rPr>
        <w:t xml:space="preserve"> </w:t>
      </w:r>
    </w:p>
    <w:p w:rsidR="00443ADA" w:rsidRDefault="00925AE6" w:rsidP="00443ADA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rebuchet MS" w:hAnsi="Trebuchet MS"/>
          <w:sz w:val="20"/>
          <w:szCs w:val="20"/>
        </w:rPr>
      </w:pPr>
      <w:hyperlink r:id="rId10" w:history="1">
        <w:r w:rsidR="00443ADA">
          <w:rPr>
            <w:rStyle w:val="Hyperlink"/>
            <w:rFonts w:ascii="Trebuchet MS" w:hAnsi="Trebuchet MS"/>
            <w:sz w:val="20"/>
            <w:szCs w:val="20"/>
          </w:rPr>
          <w:t>SETE Summary Form</w:t>
        </w:r>
      </w:hyperlink>
      <w:r w:rsidR="00443ADA">
        <w:rPr>
          <w:rFonts w:ascii="Trebuchet MS" w:hAnsi="Trebuchet MS"/>
          <w:sz w:val="20"/>
          <w:szCs w:val="20"/>
        </w:rPr>
        <w:t xml:space="preserve"> </w:t>
      </w:r>
    </w:p>
    <w:p w:rsidR="00443ADA" w:rsidRDefault="00443ADA" w:rsidP="00443ADA">
      <w:pPr>
        <w:pStyle w:val="ListParagraph"/>
        <w:numPr>
          <w:ilvl w:val="0"/>
          <w:numId w:val="4"/>
        </w:numPr>
        <w:spacing w:after="0"/>
      </w:pPr>
      <w:r>
        <w:t xml:space="preserve">SETE reports are available on the Provost’s website at </w:t>
      </w:r>
      <w:hyperlink r:id="rId11" w:history="1">
        <w:r w:rsidRPr="00DB1D3E">
          <w:rPr>
            <w:rStyle w:val="Hyperlink"/>
          </w:rPr>
          <w:t>http://www.memphis.edu/sete/index.php</w:t>
        </w:r>
      </w:hyperlink>
      <w:r>
        <w:t>.</w:t>
      </w:r>
    </w:p>
    <w:p w:rsidR="00443ADA" w:rsidRDefault="00443ADA" w:rsidP="00443ADA">
      <w:pPr>
        <w:spacing w:after="0"/>
      </w:pPr>
    </w:p>
    <w:p w:rsidR="00443ADA" w:rsidRDefault="00443ADA" w:rsidP="00443ADA">
      <w:pPr>
        <w:pStyle w:val="ListParagraph"/>
        <w:numPr>
          <w:ilvl w:val="0"/>
          <w:numId w:val="4"/>
        </w:numPr>
        <w:spacing w:after="0"/>
      </w:pPr>
      <w:r>
        <w:t xml:space="preserve">Your University CV is available on the Provost’s website at </w:t>
      </w:r>
      <w:hyperlink r:id="rId12" w:history="1">
        <w:r w:rsidRPr="00DB1D3E">
          <w:rPr>
            <w:rStyle w:val="Hyperlink"/>
          </w:rPr>
          <w:t>http://www.memphis.edu/facres/cv.php</w:t>
        </w:r>
      </w:hyperlink>
      <w:r>
        <w:t>.  You must use the University CV format.</w:t>
      </w:r>
    </w:p>
    <w:p w:rsidR="00443ADA" w:rsidRDefault="00443ADA" w:rsidP="00443ADA">
      <w:pPr>
        <w:pStyle w:val="ListParagraph"/>
      </w:pPr>
    </w:p>
    <w:p w:rsidR="00443ADA" w:rsidRPr="0006245E" w:rsidRDefault="00443ADA" w:rsidP="00443ADA">
      <w:pPr>
        <w:pStyle w:val="ListParagraph"/>
        <w:ind w:left="0"/>
        <w:rPr>
          <w:b/>
          <w:u w:val="single"/>
        </w:rPr>
      </w:pPr>
      <w:r w:rsidRPr="0006245E">
        <w:rPr>
          <w:b/>
          <w:u w:val="single"/>
        </w:rPr>
        <w:t>File Extensions</w:t>
      </w:r>
    </w:p>
    <w:p w:rsidR="00443ADA" w:rsidRDefault="00443ADA" w:rsidP="00443ADA">
      <w:pPr>
        <w:pStyle w:val="ListParagraph"/>
        <w:ind w:left="0"/>
      </w:pPr>
      <w:proofErr w:type="spellStart"/>
      <w:r>
        <w:t>Umdrive</w:t>
      </w:r>
      <w:proofErr w:type="spellEnd"/>
      <w:r>
        <w:t xml:space="preserve"> will accept files saved with a wide variety of extensions.  However some file extensions work better than others for reviewers. </w:t>
      </w:r>
    </w:p>
    <w:p w:rsidR="00443ADA" w:rsidRDefault="00443ADA" w:rsidP="00443ADA">
      <w:pPr>
        <w:pStyle w:val="ListParagraph"/>
        <w:ind w:left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3150"/>
      </w:tblGrid>
      <w:tr w:rsidR="00443ADA" w:rsidRPr="009C05F9" w:rsidTr="008E0126"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9C05F9">
              <w:rPr>
                <w:b/>
              </w:rPr>
              <w:t>Good Extensions</w:t>
            </w:r>
          </w:p>
        </w:tc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9C05F9">
              <w:rPr>
                <w:b/>
              </w:rPr>
              <w:t>Bad Extensions</w:t>
            </w:r>
          </w:p>
        </w:tc>
      </w:tr>
      <w:tr w:rsidR="00443ADA" w:rsidRPr="009C05F9" w:rsidTr="008E0126"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</w:pPr>
            <w:r w:rsidRPr="009C05F9">
              <w:t>.pdf</w:t>
            </w:r>
          </w:p>
        </w:tc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</w:pPr>
            <w:r w:rsidRPr="009C05F9">
              <w:t>.</w:t>
            </w:r>
            <w:proofErr w:type="spellStart"/>
            <w:r w:rsidRPr="009C05F9">
              <w:t>htm</w:t>
            </w:r>
            <w:proofErr w:type="spellEnd"/>
          </w:p>
        </w:tc>
      </w:tr>
      <w:tr w:rsidR="00443ADA" w:rsidRPr="009C05F9" w:rsidTr="008E0126"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</w:pPr>
            <w:r w:rsidRPr="009C05F9">
              <w:t>.doc</w:t>
            </w:r>
          </w:p>
        </w:tc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</w:pPr>
            <w:r w:rsidRPr="009C05F9">
              <w:t>.html</w:t>
            </w:r>
          </w:p>
        </w:tc>
      </w:tr>
      <w:tr w:rsidR="00443ADA" w:rsidRPr="009C05F9" w:rsidTr="008E0126"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</w:pPr>
            <w:r w:rsidRPr="009C05F9">
              <w:t>.</w:t>
            </w:r>
            <w:proofErr w:type="spellStart"/>
            <w:r w:rsidRPr="009C05F9">
              <w:t>docx</w:t>
            </w:r>
            <w:proofErr w:type="spellEnd"/>
          </w:p>
        </w:tc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</w:pPr>
          </w:p>
        </w:tc>
      </w:tr>
      <w:tr w:rsidR="00443ADA" w:rsidRPr="009C05F9" w:rsidTr="008E0126"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</w:pPr>
            <w:r w:rsidRPr="009C05F9">
              <w:t>.jpg</w:t>
            </w:r>
          </w:p>
        </w:tc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</w:pPr>
          </w:p>
        </w:tc>
      </w:tr>
      <w:tr w:rsidR="00443ADA" w:rsidRPr="009C05F9" w:rsidTr="008E0126"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</w:pPr>
            <w:r w:rsidRPr="009C05F9">
              <w:t>.</w:t>
            </w:r>
            <w:proofErr w:type="spellStart"/>
            <w:r w:rsidRPr="009C05F9">
              <w:t>xlsx</w:t>
            </w:r>
            <w:proofErr w:type="spellEnd"/>
          </w:p>
        </w:tc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</w:pPr>
          </w:p>
        </w:tc>
      </w:tr>
      <w:tr w:rsidR="00443ADA" w:rsidRPr="009C05F9" w:rsidTr="008E0126"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</w:pPr>
            <w:r w:rsidRPr="009C05F9">
              <w:t>.</w:t>
            </w:r>
            <w:proofErr w:type="spellStart"/>
            <w:r w:rsidRPr="009C05F9">
              <w:t>xls</w:t>
            </w:r>
            <w:proofErr w:type="spellEnd"/>
          </w:p>
        </w:tc>
        <w:tc>
          <w:tcPr>
            <w:tcW w:w="3150" w:type="dxa"/>
          </w:tcPr>
          <w:p w:rsidR="00443ADA" w:rsidRPr="009C05F9" w:rsidRDefault="00443ADA" w:rsidP="008E0126">
            <w:pPr>
              <w:pStyle w:val="ListParagraph"/>
              <w:spacing w:after="0" w:line="240" w:lineRule="auto"/>
              <w:ind w:left="0"/>
            </w:pPr>
          </w:p>
        </w:tc>
      </w:tr>
    </w:tbl>
    <w:p w:rsidR="00443ADA" w:rsidRDefault="00443ADA" w:rsidP="00443ADA">
      <w:pPr>
        <w:pStyle w:val="ListParagraph"/>
        <w:ind w:left="0"/>
      </w:pPr>
    </w:p>
    <w:p w:rsidR="00443ADA" w:rsidRDefault="00443ADA" w:rsidP="00443ADA">
      <w:pPr>
        <w:pStyle w:val="ListParagraph"/>
        <w:ind w:left="0"/>
      </w:pPr>
    </w:p>
    <w:p w:rsidR="00443ADA" w:rsidRPr="00F67DE3" w:rsidRDefault="00443ADA" w:rsidP="00443ADA">
      <w:pPr>
        <w:pStyle w:val="ListParagraph"/>
        <w:ind w:left="0"/>
        <w:rPr>
          <w:b/>
          <w:u w:val="single"/>
        </w:rPr>
      </w:pPr>
      <w:r w:rsidRPr="00F67DE3">
        <w:rPr>
          <w:b/>
          <w:u w:val="single"/>
        </w:rPr>
        <w:t>Dossier Contents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8"/>
        <w:gridCol w:w="1888"/>
        <w:gridCol w:w="2480"/>
      </w:tblGrid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  <w:rPr>
                <w:b/>
              </w:rPr>
            </w:pPr>
            <w:r w:rsidRPr="009C05F9">
              <w:tab/>
            </w:r>
            <w:r w:rsidRPr="009C05F9">
              <w:rPr>
                <w:b/>
              </w:rPr>
              <w:t>Mid-Tenure Review Table of Contents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  <w:rPr>
                <w:b/>
              </w:rPr>
            </w:pPr>
            <w:r w:rsidRPr="009C05F9">
              <w:rPr>
                <w:b/>
              </w:rPr>
              <w:t>Responsibility for Uploading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  <w:rPr>
                <w:b/>
              </w:rPr>
            </w:pPr>
            <w:r w:rsidRPr="009C05F9">
              <w:rPr>
                <w:b/>
              </w:rPr>
              <w:t>Tips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1.2  Appointment History Form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  <w:rPr>
                <w:sz w:val="20"/>
                <w:szCs w:val="20"/>
              </w:rPr>
            </w:pPr>
            <w:r w:rsidRPr="009C05F9">
              <w:t>Form is on CAS website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1.3  Early Tenure memo or Stop the Clock memo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Most people will not have either of these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  <w:rPr>
                <w:sz w:val="20"/>
                <w:szCs w:val="20"/>
              </w:rPr>
            </w:pPr>
            <w:r w:rsidRPr="009C05F9">
              <w:t xml:space="preserve">5.1  Initial Appointment Letter </w:t>
            </w:r>
          </w:p>
          <w:p w:rsidR="00443ADA" w:rsidRPr="009C05F9" w:rsidRDefault="00443ADA" w:rsidP="008E0126">
            <w:pPr>
              <w:spacing w:after="0" w:line="240" w:lineRule="auto"/>
            </w:pP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scan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5.2 A Annual Evaluation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Add as many 5.2’s as needed. Archived on CAS website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5.2 B Annual Evaluation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Archived on CAS website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5.2 C Annual Evaluation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Archived on CAS website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5.3 Mid-Tenure Evaluation Statement by Department</w:t>
            </w:r>
          </w:p>
          <w:p w:rsidR="00443ADA" w:rsidRPr="009C05F9" w:rsidRDefault="00443ADA" w:rsidP="008E0126">
            <w:pPr>
              <w:spacing w:after="0" w:line="240" w:lineRule="auto"/>
            </w:pP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>
              <w:t>Department Committee Chair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5.4 Mid-Tenure Evaluation Statement by Chair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>
              <w:t>Department Chair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lastRenderedPageBreak/>
              <w:t>6.1 Instruction: Summary of Teaching Responsibility/Philosophy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6.3 SETE Summary Sheet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Form on CAS webpage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6.4 Peer Evaluations of Teaching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bookmarkStart w:id="1" w:name="OLE_LINK1"/>
            <w:bookmarkStart w:id="2" w:name="OLE_LINK2"/>
            <w:r w:rsidRPr="009C05F9">
              <w:t>Only if department provides these; do not solicit from friends and students</w:t>
            </w:r>
            <w:bookmarkEnd w:id="1"/>
            <w:bookmarkEnd w:id="2"/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6.5 Teaching Honors and Awards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 xml:space="preserve">List, no copies of certificates, letters, etc. 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7.1 Research/Scholarship/Creative Activity: Brief Summary of Accomplishments &amp; Plans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7.2 Internal Grants and Contracts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List, do not attach copies of proposals, award letters, etc.)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7.3 External Grants and Contracts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List, do not attach copies of proposals, award letters, etc.)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7.4 Peer Evaluations of Research/Scholarship/Creative Activity</w:t>
            </w:r>
          </w:p>
          <w:p w:rsidR="00443ADA" w:rsidRPr="009C05F9" w:rsidRDefault="00443ADA" w:rsidP="008E0126">
            <w:pPr>
              <w:spacing w:after="0" w:line="240" w:lineRule="auto"/>
            </w:pP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Only if department provides these; do not solicit from friends and students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7.5 Honors and Awards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8.1 Service/Outreach/Advising/Mentoring/Administration: Brief Summary of Responsibilities and Accomplishments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8.2 Internal Grants and Contracts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8.3 External Grants and Contracts</w:t>
            </w:r>
          </w:p>
          <w:p w:rsidR="00443ADA" w:rsidRPr="009C05F9" w:rsidRDefault="00443ADA" w:rsidP="008E0126">
            <w:pPr>
              <w:spacing w:after="0" w:line="240" w:lineRule="auto"/>
            </w:pP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8.4 Peer Evaluations of Service/Outreach/Advising/Mentoring/Administration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8.5 Honors and Awards</w:t>
            </w:r>
          </w:p>
          <w:p w:rsidR="00443ADA" w:rsidRPr="009C05F9" w:rsidRDefault="00443ADA" w:rsidP="008E0126">
            <w:pPr>
              <w:spacing w:after="0" w:line="240" w:lineRule="auto"/>
            </w:pP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9.0 University Curriculum Vitae Cover Sheet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bookmarkStart w:id="3" w:name="OLE_LINK3"/>
            <w:bookmarkStart w:id="4" w:name="OLE_LINK4"/>
            <w:r w:rsidRPr="009C05F9">
              <w:t>Applicant</w:t>
            </w:r>
            <w:bookmarkEnd w:id="3"/>
            <w:bookmarkEnd w:id="4"/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Form is on CAS website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9.1 University Curriculum Vitae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Must use university format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10.1 List of Supplemental Materials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Optional.   Many people will not have supplemental materials.</w:t>
            </w:r>
          </w:p>
        </w:tc>
      </w:tr>
      <w:tr w:rsidR="00443ADA" w:rsidRPr="009C05F9" w:rsidTr="008E0126">
        <w:tc>
          <w:tcPr>
            <w:tcW w:w="520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10.2, etc. Supplemental Materials</w:t>
            </w:r>
          </w:p>
        </w:tc>
        <w:tc>
          <w:tcPr>
            <w:tcW w:w="1888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>Applicant</w:t>
            </w:r>
          </w:p>
        </w:tc>
        <w:tc>
          <w:tcPr>
            <w:tcW w:w="2480" w:type="dxa"/>
          </w:tcPr>
          <w:p w:rsidR="00443ADA" w:rsidRPr="009C05F9" w:rsidRDefault="00443ADA" w:rsidP="008E0126">
            <w:pPr>
              <w:spacing w:after="0" w:line="240" w:lineRule="auto"/>
            </w:pPr>
            <w:r w:rsidRPr="009C05F9">
              <w:t xml:space="preserve">Optional. Many people will not have supplemental materials.  Hard copies of supplemental materials may be housed in department OR electronic copies may be </w:t>
            </w:r>
            <w:r w:rsidRPr="009C05F9">
              <w:lastRenderedPageBreak/>
              <w:t>uploaded here.</w:t>
            </w:r>
          </w:p>
        </w:tc>
      </w:tr>
    </w:tbl>
    <w:p w:rsidR="00443ADA" w:rsidRDefault="00443ADA" w:rsidP="00443ADA"/>
    <w:p w:rsidR="0041171C" w:rsidRDefault="0041171C"/>
    <w:sectPr w:rsidR="0041171C" w:rsidSect="008E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14609"/>
    <w:multiLevelType w:val="hybridMultilevel"/>
    <w:tmpl w:val="8A4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5406D"/>
    <w:multiLevelType w:val="hybridMultilevel"/>
    <w:tmpl w:val="8B34C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20E98"/>
    <w:multiLevelType w:val="hybridMultilevel"/>
    <w:tmpl w:val="A5183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709BB"/>
    <w:multiLevelType w:val="multilevel"/>
    <w:tmpl w:val="FEBC019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DA"/>
    <w:rsid w:val="0041171C"/>
    <w:rsid w:val="00443ADA"/>
    <w:rsid w:val="004E4CA0"/>
    <w:rsid w:val="008E0126"/>
    <w:rsid w:val="0092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7D08C8-455B-4F70-A789-460830F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A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A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phis.edu/cas/docs/ApptHistForm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mphis.edu/cas/cas_ten_prom_forms.htm" TargetMode="External"/><Relationship Id="rId12" Type="http://schemas.openxmlformats.org/officeDocument/2006/relationships/hyperlink" Target="http://www.memphis.edu/facres/cv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mphis.edu/cas/faculty_resources.htm" TargetMode="External"/><Relationship Id="rId11" Type="http://schemas.openxmlformats.org/officeDocument/2006/relationships/hyperlink" Target="http://www.memphis.edu/sete/index.php" TargetMode="External"/><Relationship Id="rId5" Type="http://schemas.openxmlformats.org/officeDocument/2006/relationships/hyperlink" Target="https://umdrive.memphis.edu/g-cas-midtenure" TargetMode="External"/><Relationship Id="rId10" Type="http://schemas.openxmlformats.org/officeDocument/2006/relationships/hyperlink" Target="http://www.memphis.edu/cas/docs/SETEsummary_form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mphis.edu/cas/docs/cvcover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F Fitzgerald (sftzgrld)</dc:creator>
  <cp:lastModifiedBy>Debra M Turner (dmturner)</cp:lastModifiedBy>
  <cp:revision>2</cp:revision>
  <dcterms:created xsi:type="dcterms:W3CDTF">2014-12-16T20:39:00Z</dcterms:created>
  <dcterms:modified xsi:type="dcterms:W3CDTF">2014-12-16T20:39:00Z</dcterms:modified>
</cp:coreProperties>
</file>