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E050" w14:textId="51F3D534" w:rsidR="007F21BE" w:rsidRPr="00EF4BE6" w:rsidRDefault="008447C5" w:rsidP="00EF4BE6">
      <w:pPr>
        <w:pStyle w:val="Heading1"/>
        <w:spacing w:before="90"/>
        <w:ind w:left="115"/>
        <w:rPr>
          <w:rFonts w:eastAsia="Times New Roman"/>
          <w:bCs w:val="0"/>
        </w:rPr>
      </w:pPr>
      <w:r w:rsidRPr="007F21BE">
        <w:rPr>
          <w:rFonts w:eastAsia="Times New Roman"/>
          <w:bCs w:val="0"/>
        </w:rPr>
        <w:t>Motion to Approve Revisions to the 202</w:t>
      </w:r>
      <w:r w:rsidR="00017063">
        <w:rPr>
          <w:rFonts w:eastAsia="Times New Roman"/>
          <w:bCs w:val="0"/>
        </w:rPr>
        <w:t>5</w:t>
      </w:r>
      <w:r w:rsidRPr="007F21BE">
        <w:rPr>
          <w:rFonts w:eastAsia="Times New Roman"/>
          <w:bCs w:val="0"/>
        </w:rPr>
        <w:t>-2</w:t>
      </w:r>
      <w:r w:rsidR="00017063">
        <w:rPr>
          <w:rFonts w:eastAsia="Times New Roman"/>
          <w:bCs w:val="0"/>
        </w:rPr>
        <w:t>6</w:t>
      </w:r>
      <w:r w:rsidRPr="007F21BE">
        <w:rPr>
          <w:rFonts w:eastAsia="Times New Roman"/>
          <w:bCs w:val="0"/>
        </w:rPr>
        <w:t xml:space="preserve"> Faculty Handbook </w:t>
      </w:r>
      <w:r w:rsidR="007F21BE">
        <w:rPr>
          <w:rFonts w:eastAsia="Times New Roman"/>
          <w:bCs w:val="0"/>
        </w:rPr>
        <w:br/>
      </w:r>
      <w:r w:rsidRPr="007F21BE">
        <w:rPr>
          <w:rFonts w:eastAsia="Times New Roman"/>
          <w:bCs w:val="0"/>
        </w:rPr>
        <w:t xml:space="preserve">Section </w:t>
      </w:r>
      <w:r w:rsidR="00EE155E">
        <w:rPr>
          <w:rFonts w:eastAsia="Times New Roman"/>
          <w:bCs w:val="0"/>
        </w:rPr>
        <w:t>4.9</w:t>
      </w:r>
      <w:r w:rsidR="00717FBB">
        <w:rPr>
          <w:rFonts w:eastAsia="Times New Roman"/>
          <w:bCs w:val="0"/>
        </w:rPr>
        <w:t>.3</w:t>
      </w:r>
      <w:r w:rsidR="00E44A06">
        <w:rPr>
          <w:rFonts w:eastAsia="Times New Roman"/>
          <w:bCs w:val="0"/>
        </w:rPr>
        <w:t xml:space="preserve"> </w:t>
      </w:r>
      <w:r w:rsidR="00717FBB">
        <w:rPr>
          <w:rFonts w:eastAsia="Times New Roman"/>
          <w:bCs w:val="0"/>
        </w:rPr>
        <w:t>Probationary Period</w:t>
      </w:r>
      <w:r w:rsidR="00717FBB">
        <w:rPr>
          <w:rFonts w:eastAsia="Times New Roman"/>
          <w:bCs w:val="0"/>
        </w:rPr>
        <w:br/>
        <w:t>A. Tenure Upon Appointment (p.4</w:t>
      </w:r>
      <w:r w:rsidR="006E7877">
        <w:rPr>
          <w:rFonts w:eastAsia="Times New Roman"/>
          <w:bCs w:val="0"/>
        </w:rPr>
        <w:t>5</w:t>
      </w:r>
      <w:r w:rsidR="00717FBB">
        <w:rPr>
          <w:rFonts w:eastAsia="Times New Roman"/>
          <w:bCs w:val="0"/>
        </w:rPr>
        <w:t>)</w:t>
      </w:r>
      <w:r w:rsidR="00EF4BE6">
        <w:rPr>
          <w:rFonts w:eastAsia="Times New Roman"/>
          <w:bCs w:val="0"/>
        </w:rPr>
        <w:br/>
      </w:r>
    </w:p>
    <w:p w14:paraId="1540A1A8" w14:textId="77777777" w:rsidR="007F21BE" w:rsidRDefault="007F21BE" w:rsidP="007F21BE">
      <w:pPr>
        <w:pStyle w:val="Heading1"/>
        <w:spacing w:before="90"/>
        <w:ind w:left="115"/>
        <w:rPr>
          <w:rFonts w:eastAsia="Times New Roman"/>
          <w:bCs w:val="0"/>
        </w:rPr>
      </w:pPr>
    </w:p>
    <w:p w14:paraId="328DF9B3" w14:textId="28AA7CC9" w:rsidR="00D45B6A" w:rsidRPr="007F21BE" w:rsidRDefault="008447C5" w:rsidP="00A1250B">
      <w:pPr>
        <w:pStyle w:val="Heading1"/>
        <w:spacing w:before="90"/>
        <w:ind w:left="0"/>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Pr="007F21BE">
        <w:rPr>
          <w:rFonts w:eastAsia="Times New Roman"/>
          <w:bCs w:val="0"/>
        </w:rPr>
        <w:t>Faculty Policies Committee</w:t>
      </w:r>
    </w:p>
    <w:p w14:paraId="1BAA2251" w14:textId="77777777" w:rsidR="007F21BE" w:rsidRDefault="007F21BE">
      <w:pPr>
        <w:pStyle w:val="BodyText"/>
        <w:spacing w:line="259" w:lineRule="auto"/>
        <w:ind w:left="119"/>
        <w:rPr>
          <w:rFonts w:ascii="Arial" w:hAnsi="Arial" w:cs="Arial"/>
        </w:rPr>
      </w:pPr>
    </w:p>
    <w:p w14:paraId="42D8C181" w14:textId="77777777" w:rsidR="00882BCC" w:rsidRDefault="008447C5" w:rsidP="00556B70">
      <w:pPr>
        <w:rPr>
          <w:rFonts w:ascii="Arial" w:hAnsi="Arial" w:cs="Arial"/>
          <w:sz w:val="24"/>
          <w:szCs w:val="24"/>
        </w:rPr>
      </w:pPr>
      <w:r w:rsidRPr="00556B70">
        <w:rPr>
          <w:rFonts w:ascii="Arial" w:hAnsi="Arial" w:cs="Arial"/>
          <w:sz w:val="24"/>
          <w:szCs w:val="24"/>
        </w:rPr>
        <w:t xml:space="preserve">Whereas, </w:t>
      </w:r>
    </w:p>
    <w:p w14:paraId="7FDA2D7B" w14:textId="5A2B1BDD" w:rsidR="00556B70" w:rsidRPr="00556B70" w:rsidRDefault="00556B70" w:rsidP="00556B70">
      <w:pPr>
        <w:rPr>
          <w:rFonts w:ascii="Arial" w:hAnsi="Arial" w:cs="Arial"/>
          <w:sz w:val="24"/>
          <w:szCs w:val="24"/>
        </w:rPr>
      </w:pPr>
      <w:r w:rsidRPr="00556B70">
        <w:rPr>
          <w:rFonts w:ascii="Arial" w:hAnsi="Arial" w:cs="Arial"/>
          <w:sz w:val="24"/>
          <w:szCs w:val="24"/>
        </w:rPr>
        <w:t xml:space="preserve">The Faculty Policies Committee has a standing charge to annually review and propose appropriate revisions to the Faculty Handbook. </w:t>
      </w:r>
    </w:p>
    <w:p w14:paraId="714E19AF" w14:textId="77777777" w:rsidR="00556B70" w:rsidRDefault="00556B70">
      <w:pPr>
        <w:pStyle w:val="BodyText"/>
        <w:spacing w:line="259" w:lineRule="auto"/>
        <w:ind w:left="119"/>
        <w:rPr>
          <w:rFonts w:ascii="Arial" w:hAnsi="Arial" w:cs="Arial"/>
          <w:spacing w:val="-3"/>
        </w:rPr>
      </w:pPr>
    </w:p>
    <w:p w14:paraId="165DCD20" w14:textId="3AD624F3" w:rsidR="001F5A36" w:rsidRDefault="00CD6A02">
      <w:pPr>
        <w:pStyle w:val="BodyText"/>
        <w:spacing w:line="259" w:lineRule="auto"/>
        <w:ind w:left="119"/>
        <w:rPr>
          <w:rFonts w:ascii="Arial" w:hAnsi="Arial" w:cs="Arial"/>
        </w:rPr>
      </w:pPr>
      <w:r>
        <w:rPr>
          <w:rFonts w:ascii="Arial" w:hAnsi="Arial" w:cs="Arial"/>
        </w:rPr>
        <w:t>Whereas,</w:t>
      </w:r>
      <w:r>
        <w:rPr>
          <w:rFonts w:ascii="Arial" w:hAnsi="Arial" w:cs="Arial"/>
        </w:rPr>
        <w:br/>
      </w:r>
      <w:r w:rsidR="00F27308">
        <w:rPr>
          <w:rFonts w:ascii="Arial" w:hAnsi="Arial" w:cs="Arial"/>
        </w:rPr>
        <w:t>The Faculty Policies Committee reviewed requests for Faculty Handbook changes</w:t>
      </w:r>
      <w:r>
        <w:rPr>
          <w:rFonts w:ascii="Arial" w:hAnsi="Arial" w:cs="Arial"/>
        </w:rPr>
        <w:t xml:space="preserve"> received from </w:t>
      </w:r>
      <w:r w:rsidR="00151C86">
        <w:rPr>
          <w:rFonts w:ascii="Arial" w:hAnsi="Arial" w:cs="Arial"/>
        </w:rPr>
        <w:t xml:space="preserve">Administrators, </w:t>
      </w:r>
      <w:r>
        <w:rPr>
          <w:rFonts w:ascii="Arial" w:hAnsi="Arial" w:cs="Arial"/>
        </w:rPr>
        <w:t>Deans</w:t>
      </w:r>
      <w:r w:rsidR="00A36426">
        <w:rPr>
          <w:rFonts w:ascii="Arial" w:hAnsi="Arial" w:cs="Arial"/>
        </w:rPr>
        <w:t>,</w:t>
      </w:r>
      <w:r>
        <w:rPr>
          <w:rFonts w:ascii="Arial" w:hAnsi="Arial" w:cs="Arial"/>
        </w:rPr>
        <w:t xml:space="preserve"> and faculty from </w:t>
      </w:r>
      <w:r w:rsidR="00F27308">
        <w:rPr>
          <w:rFonts w:ascii="Arial" w:hAnsi="Arial" w:cs="Arial"/>
        </w:rPr>
        <w:t>across all units of the University of Memphis.</w:t>
      </w:r>
    </w:p>
    <w:p w14:paraId="4F752A63" w14:textId="77777777" w:rsidR="001F5A36" w:rsidRDefault="001F5A36">
      <w:pPr>
        <w:pStyle w:val="BodyText"/>
        <w:spacing w:line="259" w:lineRule="auto"/>
        <w:ind w:left="119"/>
        <w:rPr>
          <w:rFonts w:ascii="Arial" w:hAnsi="Arial" w:cs="Arial"/>
        </w:rPr>
      </w:pPr>
    </w:p>
    <w:p w14:paraId="487C642D" w14:textId="77777777" w:rsidR="001F5A36" w:rsidRDefault="001F5A36">
      <w:pPr>
        <w:pStyle w:val="BodyText"/>
        <w:spacing w:line="259" w:lineRule="auto"/>
        <w:ind w:left="119"/>
        <w:rPr>
          <w:rFonts w:ascii="Arial" w:hAnsi="Arial" w:cs="Arial"/>
        </w:rPr>
      </w:pPr>
      <w:r>
        <w:rPr>
          <w:rFonts w:ascii="Arial" w:hAnsi="Arial" w:cs="Arial"/>
        </w:rPr>
        <w:t>Whereas,</w:t>
      </w:r>
    </w:p>
    <w:p w14:paraId="10819BCD" w14:textId="07A8D719" w:rsidR="00556B70" w:rsidRDefault="001F5A36">
      <w:pPr>
        <w:pStyle w:val="BodyText"/>
        <w:spacing w:line="259" w:lineRule="auto"/>
        <w:ind w:left="119"/>
        <w:rPr>
          <w:rFonts w:ascii="Arial" w:hAnsi="Arial" w:cs="Arial"/>
        </w:rPr>
      </w:pPr>
      <w:r>
        <w:rPr>
          <w:rFonts w:ascii="Arial" w:hAnsi="Arial" w:cs="Arial"/>
        </w:rPr>
        <w:t xml:space="preserve">The Faculty Policies Committee approved and recommends the changes to Section </w:t>
      </w:r>
      <w:r w:rsidR="00151C86">
        <w:rPr>
          <w:rFonts w:ascii="Arial" w:hAnsi="Arial" w:cs="Arial"/>
        </w:rPr>
        <w:t>4</w:t>
      </w:r>
      <w:r>
        <w:rPr>
          <w:rFonts w:ascii="Arial" w:hAnsi="Arial" w:cs="Arial"/>
        </w:rPr>
        <w:t>.</w:t>
      </w:r>
      <w:r w:rsidR="00151C86">
        <w:rPr>
          <w:rFonts w:ascii="Arial" w:hAnsi="Arial" w:cs="Arial"/>
        </w:rPr>
        <w:t>9</w:t>
      </w:r>
      <w:r>
        <w:rPr>
          <w:rFonts w:ascii="Arial" w:hAnsi="Arial" w:cs="Arial"/>
        </w:rPr>
        <w:t>.</w:t>
      </w:r>
      <w:r w:rsidR="00717FBB">
        <w:rPr>
          <w:rFonts w:ascii="Arial" w:hAnsi="Arial" w:cs="Arial"/>
        </w:rPr>
        <w:t>3</w:t>
      </w:r>
      <w:r>
        <w:rPr>
          <w:rFonts w:ascii="Arial" w:hAnsi="Arial" w:cs="Arial"/>
        </w:rPr>
        <w:t xml:space="preserve"> </w:t>
      </w:r>
      <w:r w:rsidR="00717FBB">
        <w:rPr>
          <w:rFonts w:ascii="Arial" w:hAnsi="Arial" w:cs="Arial"/>
        </w:rPr>
        <w:t>Probationary Period</w:t>
      </w:r>
      <w:r w:rsidR="00151C86">
        <w:rPr>
          <w:rFonts w:ascii="Arial" w:hAnsi="Arial" w:cs="Arial"/>
        </w:rPr>
        <w:t>;</w:t>
      </w:r>
      <w:r w:rsidR="00EF4BE6">
        <w:rPr>
          <w:rFonts w:ascii="Arial" w:hAnsi="Arial" w:cs="Arial"/>
        </w:rPr>
        <w:t xml:space="preserve"> </w:t>
      </w:r>
      <w:r w:rsidR="00717FBB">
        <w:rPr>
          <w:rFonts w:ascii="Arial" w:hAnsi="Arial" w:cs="Arial"/>
        </w:rPr>
        <w:t>A. Tenure Upon Appointment</w:t>
      </w:r>
      <w:r w:rsidR="00151C86">
        <w:rPr>
          <w:rFonts w:ascii="Arial" w:hAnsi="Arial" w:cs="Arial"/>
        </w:rPr>
        <w:t xml:space="preserve"> from</w:t>
      </w:r>
      <w:r>
        <w:rPr>
          <w:rFonts w:ascii="Arial" w:hAnsi="Arial" w:cs="Arial"/>
        </w:rPr>
        <w:t xml:space="preserve"> the 202</w:t>
      </w:r>
      <w:r w:rsidR="00151C86">
        <w:rPr>
          <w:rFonts w:ascii="Arial" w:hAnsi="Arial" w:cs="Arial"/>
        </w:rPr>
        <w:t>5</w:t>
      </w:r>
      <w:r>
        <w:rPr>
          <w:rFonts w:ascii="Arial" w:hAnsi="Arial" w:cs="Arial"/>
        </w:rPr>
        <w:t>-202</w:t>
      </w:r>
      <w:r w:rsidR="00151C86">
        <w:rPr>
          <w:rFonts w:ascii="Arial" w:hAnsi="Arial" w:cs="Arial"/>
        </w:rPr>
        <w:t>6</w:t>
      </w:r>
      <w:r>
        <w:rPr>
          <w:rFonts w:ascii="Arial" w:hAnsi="Arial" w:cs="Arial"/>
        </w:rPr>
        <w:t xml:space="preserve"> Faculty Handbook</w:t>
      </w:r>
      <w:r w:rsidR="00EF4BE6">
        <w:rPr>
          <w:rFonts w:ascii="Arial" w:hAnsi="Arial" w:cs="Arial"/>
        </w:rPr>
        <w:t xml:space="preserve">. </w:t>
      </w:r>
    </w:p>
    <w:p w14:paraId="7650F5BF" w14:textId="1AF09667" w:rsidR="00F27308" w:rsidRDefault="00F27308">
      <w:pPr>
        <w:pStyle w:val="BodyText"/>
        <w:spacing w:line="259" w:lineRule="auto"/>
        <w:ind w:left="119"/>
        <w:rPr>
          <w:rFonts w:ascii="Arial" w:hAnsi="Arial" w:cs="Arial"/>
        </w:rPr>
      </w:pPr>
    </w:p>
    <w:p w14:paraId="06B2E3DF" w14:textId="2ED11647" w:rsidR="00D45B6A" w:rsidRPr="008167D2" w:rsidRDefault="008447C5" w:rsidP="003456E6">
      <w:pPr>
        <w:pStyle w:val="BodyText"/>
        <w:spacing w:line="259" w:lineRule="auto"/>
        <w:ind w:left="119"/>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17DC9B56" w14:textId="3350178E" w:rsidR="00D45B6A" w:rsidRPr="008167D2" w:rsidRDefault="008447C5">
      <w:pPr>
        <w:pStyle w:val="BodyText"/>
        <w:spacing w:before="180" w:line="259" w:lineRule="auto"/>
        <w:ind w:left="119"/>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of</w:t>
      </w:r>
      <w:r w:rsidRPr="008167D2">
        <w:rPr>
          <w:rFonts w:ascii="Arial" w:hAnsi="Arial" w:cs="Arial"/>
          <w:spacing w:val="-4"/>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attached</w:t>
      </w:r>
      <w:r w:rsidRPr="008167D2">
        <w:rPr>
          <w:rFonts w:ascii="Arial" w:hAnsi="Arial" w:cs="Arial"/>
          <w:spacing w:val="-3"/>
        </w:rPr>
        <w:t xml:space="preserve"> </w:t>
      </w:r>
      <w:r w:rsidRPr="008167D2">
        <w:rPr>
          <w:rFonts w:ascii="Arial" w:hAnsi="Arial" w:cs="Arial"/>
        </w:rPr>
        <w:t>revisions</w:t>
      </w:r>
      <w:r w:rsidRPr="008167D2">
        <w:rPr>
          <w:rFonts w:ascii="Arial" w:hAnsi="Arial" w:cs="Arial"/>
          <w:spacing w:val="-3"/>
        </w:rPr>
        <w:t xml:space="preserve"> </w:t>
      </w:r>
      <w:r w:rsidRPr="008167D2">
        <w:rPr>
          <w:rFonts w:ascii="Arial" w:hAnsi="Arial" w:cs="Arial"/>
        </w:rPr>
        <w:t>to</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202</w:t>
      </w:r>
      <w:r w:rsidR="00151C86">
        <w:rPr>
          <w:rFonts w:ascii="Arial" w:hAnsi="Arial" w:cs="Arial"/>
        </w:rPr>
        <w:t>5</w:t>
      </w:r>
      <w:r w:rsidRPr="008167D2">
        <w:rPr>
          <w:rFonts w:ascii="Arial" w:hAnsi="Arial" w:cs="Arial"/>
        </w:rPr>
        <w:t>-202</w:t>
      </w:r>
      <w:r w:rsidR="00151C86">
        <w:rPr>
          <w:rFonts w:ascii="Arial" w:hAnsi="Arial" w:cs="Arial"/>
        </w:rPr>
        <w:t>6</w:t>
      </w:r>
      <w:r w:rsidRPr="008167D2">
        <w:rPr>
          <w:rFonts w:ascii="Arial" w:hAnsi="Arial" w:cs="Arial"/>
          <w:spacing w:val="-3"/>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Handbook</w:t>
      </w:r>
      <w:r w:rsidR="003456E6">
        <w:rPr>
          <w:rFonts w:ascii="Arial" w:hAnsi="Arial" w:cs="Arial"/>
        </w:rPr>
        <w:t xml:space="preserve"> Section </w:t>
      </w:r>
      <w:r w:rsidR="00151C86">
        <w:rPr>
          <w:rFonts w:ascii="Arial" w:hAnsi="Arial" w:cs="Arial"/>
        </w:rPr>
        <w:t>4.9</w:t>
      </w:r>
      <w:r w:rsidR="003456E6">
        <w:rPr>
          <w:rFonts w:ascii="Arial" w:hAnsi="Arial" w:cs="Arial"/>
        </w:rPr>
        <w:t>.</w:t>
      </w:r>
      <w:r w:rsidR="00717FBB">
        <w:rPr>
          <w:rFonts w:ascii="Arial" w:hAnsi="Arial" w:cs="Arial"/>
        </w:rPr>
        <w:t>3</w:t>
      </w:r>
      <w:r w:rsidR="00EF4BE6">
        <w:rPr>
          <w:rFonts w:ascii="Arial" w:hAnsi="Arial" w:cs="Arial"/>
        </w:rPr>
        <w:t xml:space="preserve"> </w:t>
      </w:r>
      <w:r w:rsidR="00717FBB">
        <w:rPr>
          <w:rFonts w:ascii="Arial" w:hAnsi="Arial" w:cs="Arial"/>
        </w:rPr>
        <w:t>Probationary Period</w:t>
      </w:r>
      <w:r w:rsidR="00151C86">
        <w:rPr>
          <w:rFonts w:ascii="Arial" w:hAnsi="Arial" w:cs="Arial"/>
        </w:rPr>
        <w:t xml:space="preserve">; </w:t>
      </w:r>
      <w:r w:rsidR="00717FBB">
        <w:rPr>
          <w:rFonts w:ascii="Arial" w:hAnsi="Arial" w:cs="Arial"/>
        </w:rPr>
        <w:t>A. Tenure Upon Appoin</w:t>
      </w:r>
      <w:r w:rsidR="00316E37">
        <w:rPr>
          <w:rFonts w:ascii="Arial" w:hAnsi="Arial" w:cs="Arial"/>
        </w:rPr>
        <w:t>t</w:t>
      </w:r>
      <w:r w:rsidR="00717FBB">
        <w:rPr>
          <w:rFonts w:ascii="Arial" w:hAnsi="Arial" w:cs="Arial"/>
        </w:rPr>
        <w:t>ment</w:t>
      </w:r>
      <w:r w:rsidR="00EE263C">
        <w:rPr>
          <w:rFonts w:ascii="Arial" w:hAnsi="Arial" w:cs="Arial"/>
        </w:rPr>
        <w:t>, and</w:t>
      </w:r>
      <w:r w:rsidRPr="008167D2">
        <w:rPr>
          <w:rFonts w:ascii="Arial" w:hAnsi="Arial" w:cs="Arial"/>
          <w:spacing w:val="-3"/>
        </w:rPr>
        <w:t xml:space="preserve"> </w:t>
      </w:r>
      <w:r w:rsidRPr="008167D2">
        <w:rPr>
          <w:rFonts w:ascii="Arial" w:hAnsi="Arial" w:cs="Arial"/>
        </w:rPr>
        <w:t>recommends approval and adoption by the Provost.</w:t>
      </w:r>
    </w:p>
    <w:p w14:paraId="053FE400" w14:textId="77777777" w:rsidR="00D45B6A" w:rsidRPr="008167D2" w:rsidRDefault="00D45B6A">
      <w:pPr>
        <w:pStyle w:val="BodyText"/>
        <w:rPr>
          <w:rFonts w:ascii="Arial" w:hAnsi="Arial" w:cs="Arial"/>
        </w:rPr>
      </w:pPr>
    </w:p>
    <w:p w14:paraId="7F1A787D" w14:textId="77777777" w:rsidR="00D45B6A" w:rsidRPr="008167D2" w:rsidRDefault="00D45B6A">
      <w:pPr>
        <w:pStyle w:val="BodyText"/>
        <w:rPr>
          <w:rFonts w:ascii="Arial" w:hAnsi="Arial" w:cs="Arial"/>
        </w:rPr>
      </w:pPr>
    </w:p>
    <w:p w14:paraId="358D3EDC" w14:textId="77777777" w:rsidR="00D45B6A" w:rsidRPr="008167D2" w:rsidRDefault="00D45B6A">
      <w:pPr>
        <w:pStyle w:val="BodyText"/>
        <w:rPr>
          <w:rFonts w:ascii="Arial" w:hAnsi="Arial" w:cs="Arial"/>
        </w:rPr>
      </w:pPr>
    </w:p>
    <w:p w14:paraId="06B143AF" w14:textId="77777777" w:rsidR="00D45B6A" w:rsidRPr="008167D2" w:rsidRDefault="00D45B6A">
      <w:pPr>
        <w:pStyle w:val="BodyText"/>
        <w:spacing w:before="102"/>
        <w:rPr>
          <w:rFonts w:ascii="Arial" w:hAnsi="Arial" w:cs="Arial"/>
        </w:rPr>
      </w:pPr>
    </w:p>
    <w:p w14:paraId="597E482B" w14:textId="77777777" w:rsidR="00D45B6A" w:rsidRPr="008167D2" w:rsidRDefault="008447C5">
      <w:pPr>
        <w:pStyle w:val="BodyText"/>
        <w:ind w:left="120"/>
        <w:rPr>
          <w:rFonts w:ascii="Arial" w:hAnsi="Arial" w:cs="Arial"/>
          <w:b/>
        </w:rPr>
      </w:pPr>
      <w:r w:rsidRPr="008167D2">
        <w:rPr>
          <w:rFonts w:ascii="Arial" w:hAnsi="Arial" w:cs="Arial"/>
          <w:b/>
          <w:spacing w:val="-2"/>
        </w:rPr>
        <w:t>Recipients:</w:t>
      </w:r>
    </w:p>
    <w:p w14:paraId="5CA39148" w14:textId="40B20708" w:rsidR="00D45B6A" w:rsidRPr="008167D2" w:rsidRDefault="003B6B2B">
      <w:pPr>
        <w:pStyle w:val="BodyText"/>
        <w:spacing w:before="22"/>
        <w:ind w:left="120"/>
        <w:rPr>
          <w:rFonts w:ascii="Arial" w:hAnsi="Arial" w:cs="Arial"/>
        </w:rPr>
      </w:pPr>
      <w:r>
        <w:rPr>
          <w:rFonts w:ascii="Arial" w:hAnsi="Arial" w:cs="Arial"/>
        </w:rPr>
        <w:t xml:space="preserve">The Office of the </w:t>
      </w:r>
      <w:r w:rsidR="008447C5" w:rsidRPr="008167D2">
        <w:rPr>
          <w:rFonts w:ascii="Arial" w:hAnsi="Arial" w:cs="Arial"/>
        </w:rPr>
        <w:t>Faculty</w:t>
      </w:r>
      <w:r w:rsidR="008447C5" w:rsidRPr="008167D2">
        <w:rPr>
          <w:rFonts w:ascii="Arial" w:hAnsi="Arial" w:cs="Arial"/>
          <w:spacing w:val="-4"/>
        </w:rPr>
        <w:t xml:space="preserve"> </w:t>
      </w:r>
      <w:r w:rsidR="008447C5" w:rsidRPr="008167D2">
        <w:rPr>
          <w:rFonts w:ascii="Arial" w:hAnsi="Arial" w:cs="Arial"/>
          <w:spacing w:val="-2"/>
        </w:rPr>
        <w:t>Senate</w:t>
      </w:r>
    </w:p>
    <w:p w14:paraId="65FC5AE9" w14:textId="61130941" w:rsidR="007F21BE" w:rsidRDefault="007F21BE" w:rsidP="007F21BE">
      <w:pPr>
        <w:pStyle w:val="BodyText"/>
        <w:spacing w:before="22" w:line="259" w:lineRule="auto"/>
        <w:ind w:left="120" w:right="130"/>
        <w:rPr>
          <w:rFonts w:ascii="Arial" w:hAnsi="Arial" w:cs="Arial"/>
        </w:rPr>
      </w:pPr>
      <w:r>
        <w:rPr>
          <w:rFonts w:ascii="Arial" w:hAnsi="Arial" w:cs="Arial"/>
        </w:rPr>
        <w:t xml:space="preserve">Dr. </w:t>
      </w:r>
      <w:r w:rsidRPr="007F21BE">
        <w:rPr>
          <w:rFonts w:ascii="Arial" w:hAnsi="Arial" w:cs="Arial"/>
        </w:rPr>
        <w:t xml:space="preserve">David J. Russomanno, </w:t>
      </w:r>
      <w:r>
        <w:rPr>
          <w:rFonts w:ascii="Arial" w:hAnsi="Arial" w:cs="Arial"/>
        </w:rPr>
        <w:t xml:space="preserve">Executive Vice President for Academic Affairs &amp; </w:t>
      </w:r>
      <w:r w:rsidRPr="007F21BE">
        <w:rPr>
          <w:rFonts w:ascii="Arial" w:hAnsi="Arial" w:cs="Arial"/>
        </w:rPr>
        <w:t xml:space="preserve">Provost </w:t>
      </w:r>
    </w:p>
    <w:p w14:paraId="3533805B" w14:textId="5463A57B" w:rsidR="007F21BE" w:rsidRDefault="003B6B2B" w:rsidP="007F21BE">
      <w:pPr>
        <w:pStyle w:val="BodyText"/>
        <w:spacing w:before="22" w:line="259" w:lineRule="auto"/>
        <w:ind w:left="120" w:right="130"/>
        <w:rPr>
          <w:rFonts w:ascii="Arial" w:hAnsi="Arial" w:cs="Arial"/>
        </w:rPr>
      </w:pPr>
      <w:r>
        <w:rPr>
          <w:rFonts w:ascii="Arial" w:hAnsi="Arial" w:cs="Arial"/>
        </w:rPr>
        <w:t xml:space="preserve">Ms. </w:t>
      </w:r>
      <w:r w:rsidR="008447C5" w:rsidRPr="008167D2">
        <w:rPr>
          <w:rFonts w:ascii="Arial" w:hAnsi="Arial" w:cs="Arial"/>
        </w:rPr>
        <w:t xml:space="preserve">Helen Johnson, Office of the Provost </w:t>
      </w:r>
    </w:p>
    <w:p w14:paraId="3505A4BF" w14:textId="77777777" w:rsidR="00D45B6A" w:rsidRDefault="00D45B6A">
      <w:pPr>
        <w:spacing w:line="259" w:lineRule="auto"/>
      </w:pPr>
    </w:p>
    <w:p w14:paraId="742E7614" w14:textId="77777777" w:rsidR="00475512" w:rsidRDefault="00475512">
      <w:pPr>
        <w:spacing w:line="259" w:lineRule="auto"/>
      </w:pPr>
    </w:p>
    <w:p w14:paraId="603E6C4E" w14:textId="77777777" w:rsidR="00475512" w:rsidRDefault="00475512">
      <w:pPr>
        <w:spacing w:line="259" w:lineRule="auto"/>
      </w:pPr>
    </w:p>
    <w:p w14:paraId="56576E8E" w14:textId="77777777" w:rsidR="00475512" w:rsidRDefault="00475512">
      <w:pPr>
        <w:spacing w:line="259" w:lineRule="auto"/>
      </w:pPr>
    </w:p>
    <w:p w14:paraId="22EAF302" w14:textId="73E90F92" w:rsidR="00475512" w:rsidRDefault="00475512">
      <w:pPr>
        <w:spacing w:line="259" w:lineRule="auto"/>
        <w:sectPr w:rsidR="00475512">
          <w:headerReference w:type="even" r:id="rId7"/>
          <w:headerReference w:type="default" r:id="rId8"/>
          <w:footerReference w:type="even" r:id="rId9"/>
          <w:footerReference w:type="default" r:id="rId10"/>
          <w:headerReference w:type="first" r:id="rId11"/>
          <w:footerReference w:type="first" r:id="rId12"/>
          <w:type w:val="continuous"/>
          <w:pgSz w:w="12240" w:h="15840"/>
          <w:pgMar w:top="1560" w:right="1340" w:bottom="280" w:left="1320" w:header="480" w:footer="0" w:gutter="0"/>
          <w:pgNumType w:start="1"/>
          <w:cols w:space="720"/>
        </w:sectPr>
      </w:pPr>
    </w:p>
    <w:p w14:paraId="2A795D9C" w14:textId="05D76526" w:rsidR="00D45B6A" w:rsidRPr="00814061" w:rsidRDefault="008447C5">
      <w:pPr>
        <w:spacing w:before="80"/>
        <w:ind w:left="120"/>
        <w:rPr>
          <w:rFonts w:ascii="Arial" w:hAnsi="Arial" w:cs="Arial"/>
          <w:b/>
          <w:spacing w:val="-2"/>
        </w:rPr>
      </w:pPr>
      <w:r w:rsidRPr="00814061">
        <w:rPr>
          <w:rFonts w:ascii="Arial" w:hAnsi="Arial" w:cs="Arial"/>
          <w:b/>
          <w:spacing w:val="-2"/>
        </w:rPr>
        <w:lastRenderedPageBreak/>
        <w:t xml:space="preserve">Section </w:t>
      </w:r>
      <w:r w:rsidR="00151C86">
        <w:rPr>
          <w:rFonts w:ascii="Arial" w:hAnsi="Arial" w:cs="Arial"/>
          <w:b/>
          <w:spacing w:val="-2"/>
        </w:rPr>
        <w:t>4</w:t>
      </w:r>
      <w:r w:rsidR="0017787A" w:rsidRPr="00814061">
        <w:rPr>
          <w:rFonts w:ascii="Arial" w:hAnsi="Arial" w:cs="Arial"/>
          <w:b/>
          <w:spacing w:val="-2"/>
        </w:rPr>
        <w:t>.</w:t>
      </w:r>
      <w:r w:rsidR="00151C86">
        <w:rPr>
          <w:rFonts w:ascii="Arial" w:hAnsi="Arial" w:cs="Arial"/>
          <w:b/>
          <w:spacing w:val="-2"/>
        </w:rPr>
        <w:t>9</w:t>
      </w:r>
      <w:r w:rsidR="0017787A" w:rsidRPr="00814061">
        <w:rPr>
          <w:rFonts w:ascii="Arial" w:hAnsi="Arial" w:cs="Arial"/>
          <w:b/>
          <w:spacing w:val="-2"/>
        </w:rPr>
        <w:t>.</w:t>
      </w:r>
      <w:r w:rsidR="00316E37">
        <w:rPr>
          <w:rFonts w:ascii="Arial" w:hAnsi="Arial" w:cs="Arial"/>
          <w:b/>
          <w:spacing w:val="-2"/>
        </w:rPr>
        <w:t>3</w:t>
      </w:r>
      <w:r w:rsidR="0017787A" w:rsidRPr="00814061">
        <w:rPr>
          <w:rFonts w:ascii="Arial" w:hAnsi="Arial" w:cs="Arial"/>
          <w:b/>
          <w:spacing w:val="-2"/>
        </w:rPr>
        <w:t xml:space="preserve"> </w:t>
      </w:r>
      <w:r w:rsidR="00316E37">
        <w:rPr>
          <w:rFonts w:ascii="Arial" w:hAnsi="Arial" w:cs="Arial"/>
          <w:b/>
          <w:spacing w:val="-2"/>
        </w:rPr>
        <w:t>Probationary Period</w:t>
      </w:r>
      <w:r w:rsidR="00151C86">
        <w:rPr>
          <w:rFonts w:ascii="Arial" w:hAnsi="Arial" w:cs="Arial"/>
          <w:b/>
          <w:spacing w:val="-2"/>
        </w:rPr>
        <w:t xml:space="preserve">; </w:t>
      </w:r>
      <w:r w:rsidR="00316E37">
        <w:rPr>
          <w:rFonts w:ascii="Arial" w:hAnsi="Arial" w:cs="Arial"/>
          <w:b/>
          <w:spacing w:val="-2"/>
        </w:rPr>
        <w:t>A. Tenure Upon Appointment</w:t>
      </w:r>
    </w:p>
    <w:p w14:paraId="3758E77B" w14:textId="77777777" w:rsidR="00D45B6A" w:rsidRPr="00814061" w:rsidRDefault="00D45B6A">
      <w:pPr>
        <w:pStyle w:val="BodyText"/>
        <w:spacing w:before="21"/>
        <w:rPr>
          <w:sz w:val="22"/>
          <w:szCs w:val="22"/>
        </w:rPr>
      </w:pPr>
    </w:p>
    <w:p w14:paraId="61DB81A7" w14:textId="50A9B298" w:rsidR="00F27308" w:rsidRPr="00814061" w:rsidRDefault="00F27308" w:rsidP="00323FA4">
      <w:pPr>
        <w:pStyle w:val="ListParagraph"/>
        <w:tabs>
          <w:tab w:val="left" w:pos="921"/>
        </w:tabs>
        <w:spacing w:before="1"/>
        <w:ind w:left="921"/>
      </w:pPr>
    </w:p>
    <w:p w14:paraId="091ACF16" w14:textId="6857A95C" w:rsidR="008F48EC" w:rsidRPr="008F48EC" w:rsidRDefault="008F48EC" w:rsidP="008F48EC">
      <w:pPr>
        <w:rPr>
          <w:rFonts w:asciiTheme="minorHAnsi" w:hAnsiTheme="minorHAnsi" w:cstheme="minorHAnsi"/>
        </w:rPr>
      </w:pPr>
      <w:r w:rsidRPr="008F48EC">
        <w:rPr>
          <w:rFonts w:asciiTheme="minorHAnsi" w:hAnsiTheme="minorHAnsi" w:cstheme="minorHAnsi"/>
        </w:rPr>
        <w:t xml:space="preserve">No faculty members shall be granted tenure upon initial appointment except by positive action of the Board of Trustees upon the recommendation of the president. A faculty member hired to serve as president can be granted tenure upon initial appointment by positive action of the Board of Trustees. In exceptional cases, a distinguished faculty member, dean, or </w:t>
      </w:r>
      <w:r w:rsidR="005B43C6" w:rsidRPr="005B43C6">
        <w:rPr>
          <w:rFonts w:asciiTheme="minorHAnsi" w:hAnsiTheme="minorHAnsi" w:cstheme="minorHAnsi"/>
          <w:strike/>
        </w:rPr>
        <w:t>provost</w:t>
      </w:r>
      <w:r w:rsidR="005B43C6">
        <w:rPr>
          <w:rFonts w:asciiTheme="minorHAnsi" w:hAnsiTheme="minorHAnsi" w:cstheme="minorHAnsi"/>
        </w:rPr>
        <w:t xml:space="preserve"> </w:t>
      </w:r>
      <w:r w:rsidRPr="005B43C6">
        <w:rPr>
          <w:rFonts w:asciiTheme="minorHAnsi" w:hAnsiTheme="minorHAnsi" w:cstheme="minorHAnsi"/>
          <w:b/>
          <w:color w:val="930505"/>
        </w:rPr>
        <w:t>senior academic leader</w:t>
      </w:r>
      <w:r w:rsidRPr="008F48EC">
        <w:rPr>
          <w:rFonts w:asciiTheme="minorHAnsi" w:hAnsiTheme="minorHAnsi" w:cstheme="minorHAnsi"/>
        </w:rPr>
        <w:t xml:space="preserve"> may be awarded tenure upon her or his initial appointment</w:t>
      </w:r>
      <w:r w:rsidR="005B43C6" w:rsidRPr="005B43C6">
        <w:rPr>
          <w:rFonts w:asciiTheme="minorHAnsi" w:hAnsiTheme="minorHAnsi" w:cstheme="minorHAnsi"/>
          <w:b/>
          <w:strike/>
          <w:color w:val="930505"/>
        </w:rPr>
        <w:t>.</w:t>
      </w:r>
      <w:r w:rsidRPr="005B43C6">
        <w:rPr>
          <w:rFonts w:asciiTheme="minorHAnsi" w:hAnsiTheme="minorHAnsi" w:cstheme="minorHAnsi"/>
          <w:b/>
          <w:strike/>
          <w:color w:val="930505"/>
        </w:rPr>
        <w:t xml:space="preserve"> </w:t>
      </w:r>
      <w:r w:rsidRPr="005B43C6">
        <w:rPr>
          <w:rFonts w:asciiTheme="minorHAnsi" w:hAnsiTheme="minorHAnsi" w:cstheme="minorHAnsi"/>
          <w:b/>
          <w:color w:val="930505"/>
        </w:rPr>
        <w:t xml:space="preserve">in accordance with the Board of Trustees Tenure and Academic Freedom Policy. </w:t>
      </w:r>
      <w:r w:rsidRPr="008F48EC">
        <w:rPr>
          <w:rFonts w:asciiTheme="minorHAnsi" w:hAnsiTheme="minorHAnsi" w:cstheme="minorHAnsi"/>
        </w:rPr>
        <w:t xml:space="preserve">In these cases, an expedited tenure review will be conducted prior to awarding tenure upon appointment. In the case of a distinguished faculty member appointment, the provost will make a request to the president based on the recommendation of the dean for expedited tenure review after the dean has received a request and recommendation from the department chair/director. In the case of a dean appointment, the provost will first make a request to the president for expedited tenure review and will notify the affected academic unit and/or the department/center/institute that will serve as the locus for tenure of her or his request to the president. </w:t>
      </w:r>
    </w:p>
    <w:p w14:paraId="64872FD8" w14:textId="172AB6C3" w:rsidR="008F48EC" w:rsidRPr="008F48EC" w:rsidRDefault="008F48EC" w:rsidP="008F48EC">
      <w:pPr>
        <w:rPr>
          <w:rFonts w:asciiTheme="minorHAnsi" w:hAnsiTheme="minorHAnsi" w:cstheme="minorHAnsi"/>
        </w:rPr>
      </w:pPr>
      <w:r>
        <w:rPr>
          <w:rFonts w:asciiTheme="minorHAnsi" w:hAnsiTheme="minorHAnsi" w:cstheme="minorHAnsi"/>
        </w:rPr>
        <w:br/>
      </w:r>
      <w:r w:rsidRPr="008F48EC">
        <w:rPr>
          <w:rFonts w:asciiTheme="minorHAnsi" w:hAnsiTheme="minorHAnsi" w:cstheme="minorHAnsi"/>
        </w:rPr>
        <w:t xml:space="preserve">The president will notify the provost, the dean, and the department chair/director of the affected academic unit and/or the department/center/institute that will serve as the locus for tenure of his or her decision on whether to proceed with an expedited tenure review. In the case of a provost appointment, the president will notify the affected academic unit and/or the department/center/institute that will serve as the locus for tenure and the provost of his or her intention to recommend that the faculty appointee be awarded tenure upon initial appointment to the Board of Trustees. In all cases, the candidate’s application file will take the place of the traditional dossier which is described in Section 4.9.7B. </w:t>
      </w:r>
    </w:p>
    <w:p w14:paraId="31435BCB" w14:textId="5CB217CD" w:rsidR="008F48EC" w:rsidRPr="008F48EC" w:rsidRDefault="008F48EC" w:rsidP="008F48EC">
      <w:pPr>
        <w:rPr>
          <w:rFonts w:asciiTheme="minorHAnsi" w:hAnsiTheme="minorHAnsi" w:cstheme="minorHAnsi"/>
        </w:rPr>
      </w:pPr>
      <w:r>
        <w:rPr>
          <w:rFonts w:asciiTheme="minorHAnsi" w:hAnsiTheme="minorHAnsi" w:cstheme="minorHAnsi"/>
        </w:rPr>
        <w:br/>
      </w:r>
      <w:r w:rsidRPr="008F48EC">
        <w:rPr>
          <w:rFonts w:asciiTheme="minorHAnsi" w:hAnsiTheme="minorHAnsi" w:cstheme="minorHAnsi"/>
        </w:rPr>
        <w:t xml:space="preserve">External peer reviews described in Section 4.9.7C(2) are not required for the expedited tenure review. The affected academic unit and/or the department/center/institute will have 5 business days from the date of notification from the president to complete an expedited tenure review following the procedures in Sections 4.9.7C(4-6), Sections 4.9.7D(1-3). </w:t>
      </w:r>
    </w:p>
    <w:p w14:paraId="00254AEC" w14:textId="25A7331A" w:rsidR="008F48EC" w:rsidRPr="008F48EC" w:rsidRDefault="008F48EC" w:rsidP="008F48EC">
      <w:pPr>
        <w:rPr>
          <w:rFonts w:asciiTheme="minorHAnsi" w:hAnsiTheme="minorHAnsi" w:cstheme="minorHAnsi"/>
        </w:rPr>
      </w:pPr>
      <w:r>
        <w:rPr>
          <w:rFonts w:asciiTheme="minorHAnsi" w:hAnsiTheme="minorHAnsi" w:cstheme="minorHAnsi"/>
        </w:rPr>
        <w:br/>
      </w:r>
      <w:r w:rsidRPr="008F48EC">
        <w:rPr>
          <w:rFonts w:asciiTheme="minorHAnsi" w:hAnsiTheme="minorHAnsi" w:cstheme="minorHAnsi"/>
        </w:rPr>
        <w:t>For a distinguished faculty member</w:t>
      </w:r>
      <w:r w:rsidR="005B43C6">
        <w:rPr>
          <w:rFonts w:asciiTheme="minorHAnsi" w:hAnsiTheme="minorHAnsi" w:cstheme="minorHAnsi"/>
        </w:rPr>
        <w:t xml:space="preserve"> </w:t>
      </w:r>
      <w:r w:rsidR="005B43C6" w:rsidRPr="005B43C6">
        <w:rPr>
          <w:rFonts w:asciiTheme="minorHAnsi" w:hAnsiTheme="minorHAnsi" w:cstheme="minorHAnsi"/>
          <w:b/>
          <w:strike/>
          <w:color w:val="930505"/>
        </w:rPr>
        <w:t>or</w:t>
      </w:r>
      <w:r w:rsidRPr="008F48EC">
        <w:rPr>
          <w:rFonts w:asciiTheme="minorHAnsi" w:hAnsiTheme="minorHAnsi" w:cstheme="minorHAnsi"/>
        </w:rPr>
        <w:t xml:space="preserve">, dean, or </w:t>
      </w:r>
      <w:r w:rsidRPr="0050318D">
        <w:rPr>
          <w:rFonts w:asciiTheme="minorHAnsi" w:hAnsiTheme="minorHAnsi" w:cstheme="minorHAnsi"/>
          <w:b/>
          <w:color w:val="930505"/>
        </w:rPr>
        <w:t>senior academic leadership</w:t>
      </w:r>
      <w:r w:rsidRPr="0050318D">
        <w:rPr>
          <w:rFonts w:asciiTheme="minorHAnsi" w:hAnsiTheme="minorHAnsi" w:cstheme="minorHAnsi"/>
          <w:color w:val="C00000"/>
        </w:rPr>
        <w:t xml:space="preserve"> </w:t>
      </w:r>
      <w:r w:rsidRPr="008F48EC">
        <w:rPr>
          <w:rFonts w:asciiTheme="minorHAnsi" w:hAnsiTheme="minorHAnsi" w:cstheme="minorHAnsi"/>
        </w:rPr>
        <w:t>appointment</w:t>
      </w:r>
      <w:r w:rsidR="0050318D" w:rsidRPr="0050318D">
        <w:rPr>
          <w:rFonts w:asciiTheme="minorHAnsi" w:hAnsiTheme="minorHAnsi" w:cstheme="minorHAnsi"/>
          <w:b/>
          <w:strike/>
          <w:color w:val="930505"/>
        </w:rPr>
        <w:t>,</w:t>
      </w:r>
      <w:r w:rsidRPr="0050318D">
        <w:rPr>
          <w:rFonts w:asciiTheme="minorHAnsi" w:hAnsiTheme="minorHAnsi" w:cstheme="minorHAnsi"/>
          <w:b/>
          <w:strike/>
          <w:color w:val="930505"/>
        </w:rPr>
        <w:t xml:space="preserve"> </w:t>
      </w:r>
      <w:r w:rsidRPr="0050318D">
        <w:rPr>
          <w:rFonts w:asciiTheme="minorHAnsi" w:hAnsiTheme="minorHAnsi" w:cstheme="minorHAnsi"/>
          <w:b/>
          <w:color w:val="930505"/>
        </w:rPr>
        <w:t>other than the provost</w:t>
      </w:r>
      <w:r w:rsidRPr="008F48EC">
        <w:rPr>
          <w:rFonts w:asciiTheme="minorHAnsi" w:hAnsiTheme="minorHAnsi" w:cstheme="minorHAnsi"/>
        </w:rPr>
        <w:t xml:space="preserve">, the expedited tenure review process will be managed by the provost. For a provost appointment, the expedited tenure review process will be managed by the president. After reviewing the recommendations of the department tenure and promotion committee, department chair, academic unit tenure and promotion committee, and dean, the provost will review the candidate’s application and make a recommendation to the president except in the case of a provost appointment. After receiving recommendations from the provost (except in the case of a provost appointment), department tenure and promotion committee, department chair, academic unit tenure and promotion committee, and dean, the president will make the final recommendation on tenure upon appointment to the Board of Trustees. </w:t>
      </w:r>
    </w:p>
    <w:p w14:paraId="20ABB99C" w14:textId="75CF6A8E" w:rsidR="00556B8A" w:rsidRPr="00814061" w:rsidRDefault="00556B8A" w:rsidP="00556B8A">
      <w:pPr>
        <w:pStyle w:val="BodyText"/>
        <w:spacing w:before="140" w:line="276" w:lineRule="auto"/>
        <w:ind w:left="199" w:right="961"/>
        <w:rPr>
          <w:rFonts w:asciiTheme="minorHAnsi" w:hAnsiTheme="minorHAnsi" w:cstheme="minorHAnsi"/>
          <w:sz w:val="22"/>
          <w:szCs w:val="22"/>
        </w:rPr>
      </w:pPr>
    </w:p>
    <w:p w14:paraId="7D8B9791" w14:textId="20960724" w:rsidR="00F27308" w:rsidRPr="00C805AD" w:rsidRDefault="00C805AD">
      <w:pPr>
        <w:pStyle w:val="BodyText"/>
        <w:spacing w:before="21" w:line="259" w:lineRule="auto"/>
        <w:ind w:left="119" w:right="108"/>
        <w:rPr>
          <w:rFonts w:asciiTheme="minorHAnsi" w:hAnsiTheme="minorHAnsi" w:cstheme="minorHAnsi"/>
          <w:sz w:val="22"/>
          <w:szCs w:val="22"/>
        </w:rPr>
      </w:pPr>
      <w:r w:rsidRPr="00C805AD">
        <w:rPr>
          <w:rFonts w:asciiTheme="minorHAnsi" w:hAnsiTheme="minorHAnsi" w:cstheme="minorHAnsi"/>
          <w:sz w:val="22"/>
          <w:szCs w:val="22"/>
        </w:rPr>
        <w:t>If, after 5 business days, the president does not receive a complete set of recommendations from the provost, department tenure and promotion committee, department chair, academic unit tenure and promotion committee, and/or dean, the president will review the recommendations he or she has received and make the final recommendation on tenure upon appointment to the Board of Trustees. If the president decides that she or he is recommending that the faculty appointee be awarded tenure upon initial appointment to the Board of Trustees, the president will notify the dean of the affected academic unit and/or the department chair/director of his or her decision.</w:t>
      </w:r>
    </w:p>
    <w:p w14:paraId="695FC057" w14:textId="1962C4B7" w:rsidR="00F27308" w:rsidRDefault="00F27308">
      <w:pPr>
        <w:pStyle w:val="BodyText"/>
        <w:spacing w:before="21" w:line="259" w:lineRule="auto"/>
        <w:ind w:left="119" w:right="108"/>
      </w:pPr>
    </w:p>
    <w:p w14:paraId="01068FB4" w14:textId="110F0D9F" w:rsidR="00C805AD" w:rsidRPr="00C805AD" w:rsidRDefault="00C805AD" w:rsidP="00C805AD">
      <w:pPr>
        <w:widowControl/>
        <w:adjustRightInd w:val="0"/>
        <w:rPr>
          <w:rFonts w:asciiTheme="minorHAnsi" w:hAnsiTheme="minorHAnsi" w:cstheme="minorHAnsi"/>
          <w:strike/>
        </w:rPr>
      </w:pPr>
      <w:r w:rsidRPr="00C805AD">
        <w:rPr>
          <w:rFonts w:asciiTheme="minorHAnsi" w:hAnsiTheme="minorHAnsi" w:cstheme="minorHAnsi"/>
          <w:strike/>
        </w:rPr>
        <w:t>The Board of Trustees will only grant tenure upon initial appointment if the proposed appointee,</w:t>
      </w:r>
      <w:r w:rsidRPr="00C805AD">
        <w:rPr>
          <w:rFonts w:asciiTheme="minorHAnsi" w:hAnsiTheme="minorHAnsi" w:cstheme="minorHAnsi"/>
          <w:strike/>
        </w:rPr>
        <w:br/>
      </w:r>
    </w:p>
    <w:p w14:paraId="73C3918D" w14:textId="77777777" w:rsidR="00C805AD" w:rsidRPr="00C805AD" w:rsidRDefault="00C805AD" w:rsidP="00C805AD">
      <w:pPr>
        <w:widowControl/>
        <w:adjustRightInd w:val="0"/>
        <w:rPr>
          <w:rFonts w:asciiTheme="minorHAnsi" w:hAnsiTheme="minorHAnsi" w:cstheme="minorHAnsi"/>
          <w:strike/>
        </w:rPr>
      </w:pPr>
      <w:r w:rsidRPr="00C805AD">
        <w:rPr>
          <w:rFonts w:asciiTheme="minorHAnsi" w:hAnsiTheme="minorHAnsi" w:cstheme="minorHAnsi"/>
          <w:strike/>
        </w:rPr>
        <w:t>1. holds tenure at another higher education institution and the Board determines that the</w:t>
      </w:r>
    </w:p>
    <w:p w14:paraId="30B3D206" w14:textId="77777777" w:rsidR="00C805AD" w:rsidRPr="00C805AD" w:rsidRDefault="00C805AD" w:rsidP="00C805AD">
      <w:pPr>
        <w:widowControl/>
        <w:adjustRightInd w:val="0"/>
        <w:rPr>
          <w:rFonts w:asciiTheme="minorHAnsi" w:hAnsiTheme="minorHAnsi" w:cstheme="minorHAnsi"/>
          <w:strike/>
        </w:rPr>
      </w:pPr>
      <w:r w:rsidRPr="00C805AD">
        <w:rPr>
          <w:rFonts w:asciiTheme="minorHAnsi" w:hAnsiTheme="minorHAnsi" w:cstheme="minorHAnsi"/>
          <w:strike/>
        </w:rPr>
        <w:lastRenderedPageBreak/>
        <w:t>president has documented that the proposed appointee cannot be successfully</w:t>
      </w:r>
    </w:p>
    <w:p w14:paraId="7D8D02AC" w14:textId="098A4ACE" w:rsidR="00C805AD" w:rsidRPr="00C805AD" w:rsidRDefault="00C805AD" w:rsidP="00C805AD">
      <w:pPr>
        <w:widowControl/>
        <w:adjustRightInd w:val="0"/>
        <w:rPr>
          <w:rFonts w:asciiTheme="minorHAnsi" w:hAnsiTheme="minorHAnsi" w:cstheme="minorHAnsi"/>
          <w:strike/>
        </w:rPr>
      </w:pPr>
      <w:r w:rsidRPr="00C805AD">
        <w:rPr>
          <w:rFonts w:asciiTheme="minorHAnsi" w:hAnsiTheme="minorHAnsi" w:cstheme="minorHAnsi"/>
          <w:strike/>
        </w:rPr>
        <w:t>recruited to the university without being granted tenure upon initial appointment, and</w:t>
      </w:r>
      <w:r w:rsidRPr="00C805AD">
        <w:rPr>
          <w:rFonts w:asciiTheme="minorHAnsi" w:hAnsiTheme="minorHAnsi" w:cstheme="minorHAnsi"/>
          <w:strike/>
        </w:rPr>
        <w:br/>
      </w:r>
    </w:p>
    <w:p w14:paraId="1DFA7869" w14:textId="375AEA3A" w:rsidR="00814061" w:rsidRDefault="00C805AD" w:rsidP="00C805AD">
      <w:pPr>
        <w:spacing w:after="240"/>
        <w:rPr>
          <w:rFonts w:asciiTheme="minorHAnsi" w:hAnsiTheme="minorHAnsi" w:cstheme="minorHAnsi"/>
          <w:strike/>
        </w:rPr>
      </w:pPr>
      <w:r w:rsidRPr="00C805AD">
        <w:rPr>
          <w:rFonts w:asciiTheme="minorHAnsi" w:hAnsiTheme="minorHAnsi" w:cstheme="minorHAnsi"/>
          <w:strike/>
        </w:rPr>
        <w:t>2. will be appointed as an associate or full professor.</w:t>
      </w:r>
    </w:p>
    <w:p w14:paraId="35D89168" w14:textId="77777777" w:rsidR="0050318D" w:rsidRPr="00C805AD" w:rsidRDefault="0050318D" w:rsidP="00C805AD">
      <w:pPr>
        <w:spacing w:after="240"/>
        <w:rPr>
          <w:rFonts w:asciiTheme="minorHAnsi" w:hAnsiTheme="minorHAnsi" w:cstheme="minorHAnsi"/>
          <w:strike/>
        </w:rPr>
      </w:pPr>
    </w:p>
    <w:p w14:paraId="051FB2D7" w14:textId="3C13F3FB" w:rsidR="00F27308" w:rsidRPr="00F27308" w:rsidRDefault="00F27308" w:rsidP="00F27308">
      <w:pPr>
        <w:spacing w:after="240"/>
        <w:rPr>
          <w:rFonts w:ascii="Arial" w:hAnsi="Arial" w:cs="Arial"/>
          <w:sz w:val="24"/>
          <w:szCs w:val="24"/>
        </w:rPr>
      </w:pPr>
      <w:r w:rsidRPr="00F27308">
        <w:rPr>
          <w:rFonts w:ascii="Arial" w:hAnsi="Arial" w:cs="Arial"/>
          <w:sz w:val="24"/>
          <w:szCs w:val="24"/>
        </w:rPr>
        <w:t>Motion</w:t>
      </w:r>
      <w:r w:rsidR="004812D9">
        <w:rPr>
          <w:rFonts w:ascii="Arial" w:hAnsi="Arial" w:cs="Arial"/>
          <w:sz w:val="24"/>
          <w:szCs w:val="24"/>
        </w:rPr>
        <w:t xml:space="preserve"> Failed </w:t>
      </w:r>
      <w:r>
        <w:rPr>
          <w:rFonts w:ascii="Arial" w:hAnsi="Arial" w:cs="Arial"/>
          <w:sz w:val="24"/>
          <w:szCs w:val="24"/>
        </w:rPr>
        <w:t>3</w:t>
      </w:r>
      <w:r w:rsidRPr="00F27308">
        <w:rPr>
          <w:rFonts w:ascii="Arial" w:hAnsi="Arial" w:cs="Arial"/>
          <w:sz w:val="24"/>
          <w:szCs w:val="24"/>
        </w:rPr>
        <w:t>/</w:t>
      </w:r>
      <w:r w:rsidR="00151C86">
        <w:rPr>
          <w:rFonts w:ascii="Arial" w:hAnsi="Arial" w:cs="Arial"/>
          <w:sz w:val="24"/>
          <w:szCs w:val="24"/>
        </w:rPr>
        <w:t>31</w:t>
      </w:r>
      <w:r w:rsidRPr="00F27308">
        <w:rPr>
          <w:rFonts w:ascii="Arial" w:hAnsi="Arial" w:cs="Arial"/>
          <w:sz w:val="24"/>
          <w:szCs w:val="24"/>
        </w:rPr>
        <w:t>/202</w:t>
      </w:r>
      <w:r w:rsidR="00151C86">
        <w:rPr>
          <w:rFonts w:ascii="Arial" w:hAnsi="Arial" w:cs="Arial"/>
          <w:sz w:val="24"/>
          <w:szCs w:val="24"/>
        </w:rPr>
        <w:t>6</w:t>
      </w:r>
      <w:r w:rsidRPr="00F27308">
        <w:rPr>
          <w:rFonts w:ascii="Arial" w:hAnsi="Arial" w:cs="Arial"/>
          <w:sz w:val="24"/>
          <w:szCs w:val="24"/>
        </w:rPr>
        <w:br/>
        <w:t xml:space="preserve">Vote: </w:t>
      </w:r>
      <w:r w:rsidR="004812D9">
        <w:rPr>
          <w:rFonts w:ascii="Arial" w:hAnsi="Arial" w:cs="Arial"/>
          <w:sz w:val="24"/>
          <w:szCs w:val="24"/>
        </w:rPr>
        <w:t>11</w:t>
      </w:r>
      <w:r w:rsidRPr="00F27308">
        <w:rPr>
          <w:rFonts w:ascii="Arial" w:hAnsi="Arial" w:cs="Arial"/>
          <w:sz w:val="24"/>
          <w:szCs w:val="24"/>
        </w:rPr>
        <w:t xml:space="preserve"> For, </w:t>
      </w:r>
      <w:r w:rsidR="004812D9">
        <w:rPr>
          <w:rFonts w:ascii="Arial" w:hAnsi="Arial" w:cs="Arial"/>
          <w:sz w:val="24"/>
          <w:szCs w:val="24"/>
        </w:rPr>
        <w:t>25</w:t>
      </w:r>
      <w:r w:rsidRPr="00F27308">
        <w:rPr>
          <w:rFonts w:ascii="Arial" w:hAnsi="Arial" w:cs="Arial"/>
          <w:sz w:val="24"/>
          <w:szCs w:val="24"/>
        </w:rPr>
        <w:t xml:space="preserve"> Against, </w:t>
      </w:r>
      <w:r w:rsidR="004812D9">
        <w:rPr>
          <w:rFonts w:ascii="Arial" w:hAnsi="Arial" w:cs="Arial"/>
          <w:sz w:val="24"/>
          <w:szCs w:val="24"/>
        </w:rPr>
        <w:t>1</w:t>
      </w:r>
      <w:r w:rsidRPr="00F27308">
        <w:rPr>
          <w:rFonts w:ascii="Arial" w:hAnsi="Arial" w:cs="Arial"/>
          <w:sz w:val="24"/>
          <w:szCs w:val="24"/>
        </w:rPr>
        <w:t xml:space="preserve"> Abstain</w:t>
      </w:r>
    </w:p>
    <w:p w14:paraId="7D2164A9" w14:textId="77777777" w:rsidR="00F27308" w:rsidRPr="00F27308" w:rsidRDefault="00F27308">
      <w:pPr>
        <w:pStyle w:val="BodyText"/>
        <w:spacing w:before="21" w:line="259" w:lineRule="auto"/>
        <w:ind w:left="119" w:right="108"/>
      </w:pPr>
    </w:p>
    <w:sectPr w:rsidR="00F27308" w:rsidRPr="00F27308">
      <w:pgSz w:w="12240" w:h="15840"/>
      <w:pgMar w:top="1560" w:right="1340" w:bottom="280" w:left="1320" w:header="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4090" w14:textId="77777777" w:rsidR="00FE63CA" w:rsidRDefault="00FE63CA">
      <w:r>
        <w:separator/>
      </w:r>
    </w:p>
  </w:endnote>
  <w:endnote w:type="continuationSeparator" w:id="0">
    <w:p w14:paraId="4BD15421" w14:textId="77777777" w:rsidR="00FE63CA" w:rsidRDefault="00FE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E0B" w14:textId="77777777" w:rsidR="00475512" w:rsidRDefault="0047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4F2" w14:textId="77777777" w:rsidR="00475512" w:rsidRDefault="0047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F9D0" w14:textId="77777777" w:rsidR="00475512" w:rsidRDefault="0047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1486" w14:textId="77777777" w:rsidR="00FE63CA" w:rsidRDefault="00FE63CA">
      <w:r>
        <w:separator/>
      </w:r>
    </w:p>
  </w:footnote>
  <w:footnote w:type="continuationSeparator" w:id="0">
    <w:p w14:paraId="740B2707" w14:textId="77777777" w:rsidR="00FE63CA" w:rsidRDefault="00FE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2A71" w14:textId="77777777" w:rsidR="00475512" w:rsidRDefault="0047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794" w14:textId="152546AA" w:rsidR="00D45B6A" w:rsidRDefault="008447C5" w:rsidP="00475512">
    <w:pPr>
      <w:pStyle w:val="BodyText"/>
      <w:spacing w:line="14" w:lineRule="auto"/>
      <w:rPr>
        <w:sz w:val="20"/>
      </w:rPr>
    </w:pPr>
    <w:r>
      <w:rPr>
        <w:noProof/>
      </w:rPr>
      <mc:AlternateContent>
        <mc:Choice Requires="wps">
          <w:drawing>
            <wp:anchor distT="0" distB="0" distL="0" distR="0" simplePos="0" relativeHeight="487559168" behindDoc="1" locked="0" layoutInCell="1" allowOverlap="1" wp14:anchorId="3900F2BA" wp14:editId="521493D1">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053636CC" w14:textId="77777777" w:rsidR="00D45B6A" w:rsidRDefault="008447C5">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3900F2BA" id="_x0000_t202" coordsize="21600,21600" o:spt="202" path="m,l,21600r21600,l21600,xe">
              <v:stroke joinstyle="miter"/>
              <v:path gradientshapeok="t" o:connecttype="rect"/>
            </v:shapetype>
            <v:shape id="Textbox 2" o:spid="_x0000_s1026" type="#_x0000_t202" style="position:absolute;margin-left:71pt;margin-top:43.6pt;width:120.65pt;height:22.0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vpwEAAD8DAAAOAAAAZHJzL2Uyb0RvYy54bWysUsFu2zAMvQ/YPwi6L3JdZCiMOMXaosOA&#10;YhvQ9gNkWYqNWaIqKrHz96NkJy22W9GLTFmPj3yP3FxPdmAHHbAHV/OLVcGZdgra3u1q/vx0/+WK&#10;M4zStXIAp2t+1Mivt58/bUZf6RI6GFodGJE4rEZf8y5GXwmBqtNW4gq8dvRoIFgZ6Rp2og1yJHY7&#10;iLIovooRQusDKI1If+/mR77N/MZoFX8ZgzqyoebUW8xnyGeTTrHdyGoXpO96tbQh39GFlb2jomeq&#10;Oxkl24f+PyrbqwAIJq4UWAHG9EpnDaTmovhHzWMnvc5ayBz0Z5vw42jVz8PvwPq25iVnTloa0ZOe&#10;YgMTK5M5o8eKMI+eUHG6gYmGnIWifwD1Bwki3mDmBCR0MmMywaYvyWSUSP4fz55TEaYS2/qyLNdr&#10;zhS9lVdFcblOdcVrtg8Yv2uwLAU1DzTT3IE8PGCcoSfI0sxcP7UVp2ZaVDTQHknESLOuOb7sZdCc&#10;DT8cmZkW4xSEU9CcghCHW8jrk7Q4+LaPYPpcOZWYeZfKNKXc+7JRaQ3e3jPqde+3fwEAAP//AwBQ&#10;SwMEFAAGAAgAAAAhAHd9FX3kAAAADwEAAA8AAABkcnMvZG93bnJldi54bWxMj81OwzAQhO9IvIO1&#10;SNyo0xiVkMapKn5OSKhpOHB0YjexGq9D7Lbh7VlOcFlpNLuz8xWb2Q3sbKZgPUpYLhJgBluvLXYS&#10;PurXuwxYiAq1GjwaCd8mwKa8vipUrv0FK3Pex45RCIZcSehjHHPOQ9sbp8LCjwbJO/jJqUhy6rie&#10;1IXC3cDTJFlxpyzSh16N5qk37XF/chK2n1i92K/3ZlcdKlvXjwm+rY5S3t7Mz2sa2zWwaOb4dwG/&#10;DNQfSirW+BPqwAbS9ykBRQnZQwqMFkQmBLCGHLEUwMuC/+cofwAAAP//AwBQSwECLQAUAAYACAAA&#10;ACEAtoM4kv4AAADhAQAAEwAAAAAAAAAAAAAAAAAAAAAAW0NvbnRlbnRfVHlwZXNdLnhtbFBLAQIt&#10;ABQABgAIAAAAIQA4/SH/1gAAAJQBAAALAAAAAAAAAAAAAAAAAC8BAABfcmVscy8ucmVsc1BLAQIt&#10;ABQABgAIAAAAIQA4b+kvpwEAAD8DAAAOAAAAAAAAAAAAAAAAAC4CAABkcnMvZTJvRG9jLnhtbFBL&#10;AQItABQABgAIAAAAIQB3fRV95AAAAA8BAAAPAAAAAAAAAAAAAAAAAAEEAABkcnMvZG93bnJldi54&#10;bWxQSwUGAAAAAAQABADzAAAAEgUAAAAA&#10;" filled="f" stroked="f">
              <v:textbox inset="0,0,0,0">
                <w:txbxContent>
                  <w:p w14:paraId="053636CC" w14:textId="77777777" w:rsidR="00D45B6A" w:rsidRDefault="008447C5">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1399" w14:textId="77777777" w:rsidR="00475512" w:rsidRDefault="00475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B84"/>
    <w:multiLevelType w:val="multilevel"/>
    <w:tmpl w:val="2ED858B6"/>
    <w:lvl w:ilvl="0">
      <w:start w:val="1"/>
      <w:numFmt w:val="decimal"/>
      <w:lvlText w:val="%1"/>
      <w:lvlJc w:val="left"/>
      <w:pPr>
        <w:ind w:left="785" w:hanging="586"/>
      </w:pPr>
      <w:rPr>
        <w:rFonts w:hint="default"/>
        <w:lang w:val="en-US" w:eastAsia="en-US" w:bidi="ar-SA"/>
      </w:rPr>
    </w:lvl>
    <w:lvl w:ilvl="1">
      <w:start w:val="8"/>
      <w:numFmt w:val="decimal"/>
      <w:lvlText w:val="%1.%2"/>
      <w:lvlJc w:val="left"/>
      <w:pPr>
        <w:ind w:left="785" w:hanging="586"/>
      </w:pPr>
      <w:rPr>
        <w:rFonts w:hint="default"/>
        <w:lang w:val="en-US" w:eastAsia="en-US" w:bidi="ar-SA"/>
      </w:rPr>
    </w:lvl>
    <w:lvl w:ilvl="2">
      <w:start w:val="1"/>
      <w:numFmt w:val="decimal"/>
      <w:lvlText w:val="%1.%2.%3"/>
      <w:lvlJc w:val="left"/>
      <w:pPr>
        <w:ind w:left="785" w:hanging="586"/>
      </w:pPr>
      <w:rPr>
        <w:rFonts w:ascii="Calibri" w:eastAsia="Calibri" w:hAnsi="Calibri" w:cs="Calibri" w:hint="default"/>
        <w:b w:val="0"/>
        <w:bCs w:val="0"/>
        <w:i w:val="0"/>
        <w:iCs w:val="0"/>
        <w:color w:val="1F3762"/>
        <w:spacing w:val="0"/>
        <w:w w:val="100"/>
        <w:sz w:val="22"/>
        <w:szCs w:val="22"/>
        <w:lang w:val="en-US" w:eastAsia="en-US" w:bidi="ar-SA"/>
      </w:rPr>
    </w:lvl>
    <w:lvl w:ilvl="3">
      <w:numFmt w:val="bullet"/>
      <w:lvlText w:val=""/>
      <w:lvlJc w:val="left"/>
      <w:pPr>
        <w:ind w:left="901"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106" w:hanging="361"/>
      </w:pPr>
      <w:rPr>
        <w:rFonts w:hint="default"/>
        <w:lang w:val="en-US" w:eastAsia="en-US" w:bidi="ar-SA"/>
      </w:rPr>
    </w:lvl>
    <w:lvl w:ilvl="5">
      <w:numFmt w:val="bullet"/>
      <w:lvlText w:val="•"/>
      <w:lvlJc w:val="left"/>
      <w:pPr>
        <w:ind w:left="5168" w:hanging="361"/>
      </w:pPr>
      <w:rPr>
        <w:rFonts w:hint="default"/>
        <w:lang w:val="en-US" w:eastAsia="en-US" w:bidi="ar-SA"/>
      </w:rPr>
    </w:lvl>
    <w:lvl w:ilvl="6">
      <w:numFmt w:val="bullet"/>
      <w:lvlText w:val="•"/>
      <w:lvlJc w:val="left"/>
      <w:pPr>
        <w:ind w:left="6231" w:hanging="361"/>
      </w:pPr>
      <w:rPr>
        <w:rFonts w:hint="default"/>
        <w:lang w:val="en-US" w:eastAsia="en-US" w:bidi="ar-SA"/>
      </w:rPr>
    </w:lvl>
    <w:lvl w:ilvl="7">
      <w:numFmt w:val="bullet"/>
      <w:lvlText w:val="•"/>
      <w:lvlJc w:val="left"/>
      <w:pPr>
        <w:ind w:left="7293" w:hanging="361"/>
      </w:pPr>
      <w:rPr>
        <w:rFonts w:hint="default"/>
        <w:lang w:val="en-US" w:eastAsia="en-US" w:bidi="ar-SA"/>
      </w:rPr>
    </w:lvl>
    <w:lvl w:ilvl="8">
      <w:numFmt w:val="bullet"/>
      <w:lvlText w:val="•"/>
      <w:lvlJc w:val="left"/>
      <w:pPr>
        <w:ind w:left="8355" w:hanging="361"/>
      </w:pPr>
      <w:rPr>
        <w:rFonts w:hint="default"/>
        <w:lang w:val="en-US" w:eastAsia="en-US" w:bidi="ar-SA"/>
      </w:rPr>
    </w:lvl>
  </w:abstractNum>
  <w:num w:numId="1" w16cid:durableId="12098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00110A"/>
    <w:rsid w:val="00017063"/>
    <w:rsid w:val="00151C86"/>
    <w:rsid w:val="0017787A"/>
    <w:rsid w:val="001F5A36"/>
    <w:rsid w:val="00246617"/>
    <w:rsid w:val="002951E0"/>
    <w:rsid w:val="0030633E"/>
    <w:rsid w:val="00315947"/>
    <w:rsid w:val="00316E37"/>
    <w:rsid w:val="00323FA4"/>
    <w:rsid w:val="00342C86"/>
    <w:rsid w:val="003456E6"/>
    <w:rsid w:val="0035170E"/>
    <w:rsid w:val="003851B4"/>
    <w:rsid w:val="003B6B2B"/>
    <w:rsid w:val="003C5581"/>
    <w:rsid w:val="003F7CCC"/>
    <w:rsid w:val="00475512"/>
    <w:rsid w:val="004812D9"/>
    <w:rsid w:val="004A1004"/>
    <w:rsid w:val="004A1164"/>
    <w:rsid w:val="0050318D"/>
    <w:rsid w:val="00521B25"/>
    <w:rsid w:val="00556B70"/>
    <w:rsid w:val="00556B8A"/>
    <w:rsid w:val="005B43C6"/>
    <w:rsid w:val="006679D1"/>
    <w:rsid w:val="006958C1"/>
    <w:rsid w:val="006E7877"/>
    <w:rsid w:val="006F2DFE"/>
    <w:rsid w:val="00717FBB"/>
    <w:rsid w:val="007328E5"/>
    <w:rsid w:val="00755E9B"/>
    <w:rsid w:val="00791786"/>
    <w:rsid w:val="007A0A1E"/>
    <w:rsid w:val="007D1326"/>
    <w:rsid w:val="007F21BE"/>
    <w:rsid w:val="007F48D4"/>
    <w:rsid w:val="00803F65"/>
    <w:rsid w:val="00814061"/>
    <w:rsid w:val="008167D0"/>
    <w:rsid w:val="008167D2"/>
    <w:rsid w:val="008447C5"/>
    <w:rsid w:val="00882BCC"/>
    <w:rsid w:val="008A12EA"/>
    <w:rsid w:val="008C6BFB"/>
    <w:rsid w:val="008D14A0"/>
    <w:rsid w:val="008F015D"/>
    <w:rsid w:val="008F48EC"/>
    <w:rsid w:val="0091373A"/>
    <w:rsid w:val="009208EF"/>
    <w:rsid w:val="00A1250B"/>
    <w:rsid w:val="00A36426"/>
    <w:rsid w:val="00AC17CD"/>
    <w:rsid w:val="00AD2163"/>
    <w:rsid w:val="00B21B20"/>
    <w:rsid w:val="00BE2A4A"/>
    <w:rsid w:val="00BF29F5"/>
    <w:rsid w:val="00C805AD"/>
    <w:rsid w:val="00C909E9"/>
    <w:rsid w:val="00CA474A"/>
    <w:rsid w:val="00CD6A02"/>
    <w:rsid w:val="00D45B6A"/>
    <w:rsid w:val="00DB1712"/>
    <w:rsid w:val="00DB3268"/>
    <w:rsid w:val="00DC691E"/>
    <w:rsid w:val="00E44A06"/>
    <w:rsid w:val="00E6330D"/>
    <w:rsid w:val="00E716F7"/>
    <w:rsid w:val="00EE155E"/>
    <w:rsid w:val="00EE263C"/>
    <w:rsid w:val="00EF4BE6"/>
    <w:rsid w:val="00F27308"/>
    <w:rsid w:val="00F8480E"/>
    <w:rsid w:val="00F95205"/>
    <w:rsid w:val="00FE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1712"/>
    <w:pPr>
      <w:tabs>
        <w:tab w:val="center" w:pos="4680"/>
        <w:tab w:val="right" w:pos="9360"/>
      </w:tabs>
    </w:pPr>
  </w:style>
  <w:style w:type="character" w:customStyle="1" w:styleId="HeaderChar">
    <w:name w:val="Header Char"/>
    <w:basedOn w:val="DefaultParagraphFont"/>
    <w:link w:val="Header"/>
    <w:uiPriority w:val="99"/>
    <w:rsid w:val="00DB1712"/>
    <w:rPr>
      <w:rFonts w:ascii="Times New Roman" w:eastAsia="Times New Roman" w:hAnsi="Times New Roman" w:cs="Times New Roman"/>
    </w:rPr>
  </w:style>
  <w:style w:type="paragraph" w:styleId="Footer">
    <w:name w:val="footer"/>
    <w:basedOn w:val="Normal"/>
    <w:link w:val="FooterChar"/>
    <w:uiPriority w:val="99"/>
    <w:unhideWhenUsed/>
    <w:rsid w:val="00DB1712"/>
    <w:pPr>
      <w:tabs>
        <w:tab w:val="center" w:pos="4680"/>
        <w:tab w:val="right" w:pos="9360"/>
      </w:tabs>
    </w:pPr>
  </w:style>
  <w:style w:type="character" w:customStyle="1" w:styleId="FooterChar">
    <w:name w:val="Footer Char"/>
    <w:basedOn w:val="DefaultParagraphFont"/>
    <w:link w:val="Footer"/>
    <w:uiPriority w:val="99"/>
    <w:rsid w:val="00DB17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820</Words>
  <Characters>4626</Characters>
  <Application>Microsoft Office Word</Application>
  <DocSecurity>0</DocSecurity>
  <Lines>96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10</cp:revision>
  <cp:lastPrinted>2025-03-17T13:23:00Z</cp:lastPrinted>
  <dcterms:created xsi:type="dcterms:W3CDTF">2026-03-21T11:17:00Z</dcterms:created>
  <dcterms:modified xsi:type="dcterms:W3CDTF">2026-04-01T18:48:00Z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ies>
</file>