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DB" w:rsidRPr="005B3A39" w:rsidRDefault="00A304DB" w:rsidP="0055643A">
      <w:pPr>
        <w:jc w:val="center"/>
        <w:rPr>
          <w:b/>
          <w:noProof/>
          <w:sz w:val="28"/>
          <w:szCs w:val="32"/>
        </w:rPr>
      </w:pPr>
      <w:r w:rsidRPr="005B3A39">
        <w:rPr>
          <w:b/>
          <w:noProof/>
          <w:sz w:val="28"/>
          <w:szCs w:val="32"/>
        </w:rPr>
        <w:t xml:space="preserve">INSTRUCTIONS FOR REGISTERING FOR </w:t>
      </w:r>
      <w:r>
        <w:rPr>
          <w:b/>
          <w:noProof/>
          <w:sz w:val="28"/>
          <w:szCs w:val="32"/>
        </w:rPr>
        <w:t>WESTLAW, TWEN &amp; THE LEGAL METHODS TWEN COURSE</w:t>
      </w:r>
    </w:p>
    <w:p w:rsidR="00A304DB" w:rsidRDefault="00A304DB" w:rsidP="0055643A">
      <w:pPr>
        <w:rPr>
          <w:sz w:val="28"/>
          <w:szCs w:val="28"/>
        </w:rPr>
      </w:pPr>
    </w:p>
    <w:p w:rsidR="00BA11FE" w:rsidRDefault="00A304DB" w:rsidP="00A556D9">
      <w:pPr>
        <w:spacing w:after="240"/>
      </w:pPr>
      <w:r w:rsidRPr="00322351">
        <w:t xml:space="preserve">All 1Ls will use </w:t>
      </w:r>
      <w:r>
        <w:t xml:space="preserve">Westlaw </w:t>
      </w:r>
      <w:r w:rsidR="00A556D9">
        <w:t xml:space="preserve">and TWEN </w:t>
      </w:r>
      <w:r w:rsidRPr="00322351">
        <w:t xml:space="preserve">during the fall semester.  </w:t>
      </w:r>
      <w:r w:rsidR="00A556D9">
        <w:t xml:space="preserve">To </w:t>
      </w:r>
      <w:r w:rsidR="0076720B">
        <w:t xml:space="preserve">gain access to TWEN, you must </w:t>
      </w:r>
      <w:r>
        <w:t xml:space="preserve">first </w:t>
      </w:r>
      <w:r w:rsidRPr="00322351">
        <w:t xml:space="preserve">register </w:t>
      </w:r>
      <w:r w:rsidR="00511B3E">
        <w:t xml:space="preserve">for </w:t>
      </w:r>
      <w:r w:rsidR="00EF0A4F">
        <w:t>Westlaw</w:t>
      </w:r>
      <w:r w:rsidR="00511B3E">
        <w:t xml:space="preserve"> access</w:t>
      </w:r>
      <w:r w:rsidR="0076720B">
        <w:t>.  After you register for Westlaw access, register for the Legal Methods TWEN Course.</w:t>
      </w:r>
      <w:r w:rsidR="00F532E4">
        <w:rPr>
          <w:rStyle w:val="FootnoteReference"/>
        </w:rPr>
        <w:footnoteReference w:id="1"/>
      </w:r>
      <w:r w:rsidR="0076720B">
        <w:t xml:space="preserve">  </w:t>
      </w:r>
    </w:p>
    <w:p w:rsidR="00627777" w:rsidRPr="00BB22B6" w:rsidRDefault="00627777">
      <w:pPr>
        <w:pStyle w:val="Heading1"/>
        <w:rPr>
          <w:b/>
          <w:u w:val="none"/>
        </w:rPr>
      </w:pPr>
      <w:r w:rsidRPr="00BB22B6">
        <w:rPr>
          <w:b/>
        </w:rPr>
        <w:t>Register</w:t>
      </w:r>
      <w:r w:rsidR="008703DE">
        <w:rPr>
          <w:b/>
        </w:rPr>
        <w:t>ing</w:t>
      </w:r>
      <w:r w:rsidRPr="00BB22B6">
        <w:rPr>
          <w:b/>
        </w:rPr>
        <w:t xml:space="preserve"> </w:t>
      </w:r>
      <w:r w:rsidR="005322A4" w:rsidRPr="00BB22B6">
        <w:rPr>
          <w:b/>
        </w:rPr>
        <w:t>for</w:t>
      </w:r>
      <w:r w:rsidRPr="00BB22B6">
        <w:rPr>
          <w:b/>
        </w:rPr>
        <w:t xml:space="preserve"> </w:t>
      </w:r>
      <w:r w:rsidR="00E95020" w:rsidRPr="00BB22B6">
        <w:rPr>
          <w:b/>
        </w:rPr>
        <w:t>Westlaw/</w:t>
      </w:r>
      <w:r w:rsidR="00F71A2E" w:rsidRPr="00BB22B6">
        <w:rPr>
          <w:b/>
        </w:rPr>
        <w:t>TWEN</w:t>
      </w:r>
      <w:r w:rsidR="00E95020" w:rsidRPr="00BB22B6">
        <w:rPr>
          <w:b/>
        </w:rPr>
        <w:t xml:space="preserve"> Access</w:t>
      </w:r>
    </w:p>
    <w:p w:rsidR="00627777" w:rsidRDefault="00627777">
      <w:pPr>
        <w:rPr>
          <w:u w:val="single"/>
        </w:rPr>
      </w:pPr>
    </w:p>
    <w:p w:rsidR="00156474" w:rsidRDefault="00156474" w:rsidP="0055643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720"/>
      </w:pPr>
      <w:r>
        <w:t>Obtain your Westlaw Password from Linda Hayes.</w:t>
      </w:r>
    </w:p>
    <w:p w:rsidR="00627777" w:rsidRDefault="0043555D" w:rsidP="0055643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hanging="1080"/>
      </w:pPr>
      <w:r>
        <w:t xml:space="preserve">Go to </w:t>
      </w:r>
      <w:hyperlink r:id="rId8" w:history="1">
        <w:r w:rsidRPr="00AC468E">
          <w:rPr>
            <w:rStyle w:val="Hyperlink"/>
          </w:rPr>
          <w:t>www.lawschool.westlaw.com</w:t>
        </w:r>
      </w:hyperlink>
      <w:r w:rsidR="00627777">
        <w:t>.</w:t>
      </w:r>
    </w:p>
    <w:p w:rsidR="00627777" w:rsidRDefault="00E43A5C" w:rsidP="0055643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hanging="1080"/>
      </w:pPr>
      <w:r>
        <w:t>Click the</w:t>
      </w:r>
      <w:r w:rsidR="00627777">
        <w:t xml:space="preserve"> </w:t>
      </w:r>
      <w:r>
        <w:rPr>
          <w:u w:val="single"/>
        </w:rPr>
        <w:t>R</w:t>
      </w:r>
      <w:r w:rsidR="00627777">
        <w:rPr>
          <w:u w:val="single"/>
        </w:rPr>
        <w:t>egister</w:t>
      </w:r>
      <w:r w:rsidR="00734415" w:rsidRPr="00665B31">
        <w:t xml:space="preserve"> </w:t>
      </w:r>
      <w:r w:rsidR="00201684" w:rsidRPr="00123976">
        <w:t>l</w:t>
      </w:r>
      <w:r w:rsidR="00734415" w:rsidRPr="00123976">
        <w:t>ink</w:t>
      </w:r>
      <w:r w:rsidR="00D0451A">
        <w:t xml:space="preserve"> located on the </w:t>
      </w:r>
      <w:r w:rsidR="00665B31">
        <w:t>right</w:t>
      </w:r>
      <w:r w:rsidR="00627777">
        <w:t>.</w:t>
      </w:r>
    </w:p>
    <w:p w:rsidR="00123976" w:rsidRDefault="004C6458" w:rsidP="0055643A">
      <w:pPr>
        <w:tabs>
          <w:tab w:val="num" w:pos="720"/>
        </w:tabs>
        <w:spacing w:after="240"/>
        <w:ind w:left="720"/>
      </w:pPr>
      <w:r>
        <w:rPr>
          <w:noProof/>
        </w:rPr>
        <w:drawing>
          <wp:inline distT="0" distB="0" distL="0" distR="0" wp14:anchorId="762A7D13" wp14:editId="570D29AD">
            <wp:extent cx="4742180" cy="2306955"/>
            <wp:effectExtent l="19050" t="19050" r="20320" b="17145"/>
            <wp:docPr id="1" name="Picture 2" descr="SNAGHTMLa558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AGHTMLa55830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23069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451A" w:rsidRDefault="00665B31" w:rsidP="0055643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hanging="1080"/>
      </w:pPr>
      <w:r>
        <w:t>Select</w:t>
      </w:r>
      <w:r w:rsidR="00D0451A">
        <w:t xml:space="preserve"> </w:t>
      </w:r>
      <w:r w:rsidR="00A556D9" w:rsidRPr="00A556D9">
        <w:rPr>
          <w:u w:val="single"/>
        </w:rPr>
        <w:t>No</w:t>
      </w:r>
      <w:r w:rsidR="00A556D9">
        <w:t xml:space="preserve"> in response to whether you have an existing </w:t>
      </w:r>
      <w:proofErr w:type="spellStart"/>
      <w:r w:rsidR="00A556D9">
        <w:t>OnePass</w:t>
      </w:r>
      <w:proofErr w:type="spellEnd"/>
      <w:r w:rsidR="00A556D9">
        <w:t xml:space="preserve"> profile.</w:t>
      </w:r>
      <w:r w:rsidR="00D0451A">
        <w:t xml:space="preserve"> </w:t>
      </w:r>
    </w:p>
    <w:p w:rsidR="00A933C2" w:rsidRDefault="00A556D9" w:rsidP="00A556D9">
      <w:pPr>
        <w:tabs>
          <w:tab w:val="num" w:pos="720"/>
        </w:tabs>
        <w:spacing w:after="240"/>
        <w:ind w:left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EF9FDF" wp14:editId="59D4FD82">
            <wp:simplePos x="0" y="0"/>
            <wp:positionH relativeFrom="column">
              <wp:posOffset>457200</wp:posOffset>
            </wp:positionH>
            <wp:positionV relativeFrom="paragraph">
              <wp:posOffset>15240</wp:posOffset>
            </wp:positionV>
            <wp:extent cx="4772025" cy="2409825"/>
            <wp:effectExtent l="19050" t="19050" r="28575" b="285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4098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51A" w:rsidRPr="0055643A" w:rsidRDefault="00A556D9" w:rsidP="00AE280D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720"/>
      </w:pPr>
      <w:r>
        <w:lastRenderedPageBreak/>
        <w:t xml:space="preserve">Fill in the Westlaw Registration Key provided to you by Linda Hayes and your preferred email address in the appropriate boxes.  </w:t>
      </w:r>
      <w:r w:rsidR="005C20B7">
        <w:t xml:space="preserve">Click </w:t>
      </w:r>
      <w:r w:rsidRPr="00AE280D">
        <w:rPr>
          <w:u w:val="single"/>
        </w:rPr>
        <w:t>Continue</w:t>
      </w:r>
      <w:r w:rsidR="005C20B7">
        <w:t>.</w:t>
      </w:r>
    </w:p>
    <w:p w:rsidR="00A304DB" w:rsidRDefault="00A556D9" w:rsidP="0055643A">
      <w:pPr>
        <w:tabs>
          <w:tab w:val="left" w:pos="720"/>
        </w:tabs>
        <w:spacing w:after="240"/>
        <w:ind w:left="720"/>
      </w:pPr>
      <w:r>
        <w:rPr>
          <w:noProof/>
        </w:rPr>
        <w:drawing>
          <wp:inline distT="0" distB="0" distL="0" distR="0" wp14:anchorId="011B8817" wp14:editId="6298ED75">
            <wp:extent cx="4556207" cy="3048000"/>
            <wp:effectExtent l="19050" t="19050" r="158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648" cy="305699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7777" w:rsidRDefault="00627777" w:rsidP="0055643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720"/>
      </w:pPr>
      <w:r>
        <w:t>Fill out the registration information</w:t>
      </w:r>
      <w:r w:rsidR="0055643A">
        <w:t xml:space="preserve">.  </w:t>
      </w:r>
      <w:r w:rsidR="00AE280D">
        <w:t>C</w:t>
      </w:r>
      <w:r w:rsidR="0055643A">
        <w:t xml:space="preserve">lick </w:t>
      </w:r>
      <w:r w:rsidR="001148C1">
        <w:rPr>
          <w:u w:val="single"/>
        </w:rPr>
        <w:t>Create Profile</w:t>
      </w:r>
      <w:r w:rsidR="0055643A">
        <w:t>.</w:t>
      </w:r>
      <w:r w:rsidR="00D0451A">
        <w:t xml:space="preserve"> </w:t>
      </w:r>
    </w:p>
    <w:p w:rsidR="00A304DB" w:rsidRDefault="001148C1" w:rsidP="0055643A">
      <w:pPr>
        <w:tabs>
          <w:tab w:val="num" w:pos="720"/>
        </w:tabs>
        <w:spacing w:after="240"/>
        <w:ind w:left="1080" w:hanging="360"/>
      </w:pPr>
      <w:r>
        <w:rPr>
          <w:noProof/>
        </w:rPr>
        <w:drawing>
          <wp:inline distT="0" distB="0" distL="0" distR="0" wp14:anchorId="7CBC865B" wp14:editId="5A115F41">
            <wp:extent cx="4543151" cy="3009900"/>
            <wp:effectExtent l="19050" t="19050" r="1016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4985" cy="30177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5E5A" w:rsidRDefault="00627777" w:rsidP="000D5E5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720"/>
      </w:pPr>
      <w:r>
        <w:t xml:space="preserve">You are now registered for </w:t>
      </w:r>
      <w:r w:rsidR="00F1347F">
        <w:t>Westlaw</w:t>
      </w:r>
      <w:r w:rsidR="00D37209">
        <w:t xml:space="preserve"> and TWEN</w:t>
      </w:r>
      <w:r w:rsidR="003D2CEF">
        <w:t xml:space="preserve">.  </w:t>
      </w:r>
      <w:r w:rsidR="00FF046F">
        <w:t xml:space="preserve">Later in the semester, you will learn how to conduct legal research on Westlaw.  </w:t>
      </w:r>
    </w:p>
    <w:p w:rsidR="000D5E5A" w:rsidRDefault="000D5E5A" w:rsidP="004A4688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720"/>
      </w:pPr>
      <w:r>
        <w:t xml:space="preserve">If you have problems registering for Westlaw, contact Westlaw technical support </w:t>
      </w:r>
      <w:proofErr w:type="gramStart"/>
      <w:r>
        <w:t xml:space="preserve">at </w:t>
      </w:r>
      <w:r w:rsidR="00D37209">
        <w:t xml:space="preserve"> </w:t>
      </w:r>
      <w:r>
        <w:t>(</w:t>
      </w:r>
      <w:proofErr w:type="gramEnd"/>
      <w:r>
        <w:t xml:space="preserve">800) 850-WEST.  </w:t>
      </w:r>
    </w:p>
    <w:p w:rsidR="00627777" w:rsidRPr="005D653A" w:rsidRDefault="00465F55" w:rsidP="005D653A">
      <w:pPr>
        <w:pStyle w:val="Heading1"/>
        <w:tabs>
          <w:tab w:val="num" w:pos="720"/>
        </w:tabs>
        <w:spacing w:after="240"/>
        <w:rPr>
          <w:b/>
        </w:rPr>
      </w:pPr>
      <w:r>
        <w:br w:type="page"/>
      </w:r>
      <w:r w:rsidR="005D653A">
        <w:rPr>
          <w:b/>
        </w:rPr>
        <w:lastRenderedPageBreak/>
        <w:t xml:space="preserve">Enrolling </w:t>
      </w:r>
      <w:r w:rsidR="00627777" w:rsidRPr="005D653A">
        <w:rPr>
          <w:b/>
        </w:rPr>
        <w:t xml:space="preserve">in the Legal Methods </w:t>
      </w:r>
      <w:r w:rsidR="00A84EED" w:rsidRPr="005D653A">
        <w:rPr>
          <w:b/>
        </w:rPr>
        <w:t xml:space="preserve">TWEN </w:t>
      </w:r>
      <w:r w:rsidR="00627777" w:rsidRPr="005D653A">
        <w:rPr>
          <w:b/>
        </w:rPr>
        <w:t>Course</w:t>
      </w:r>
    </w:p>
    <w:p w:rsidR="00614E7C" w:rsidRDefault="00007F38" w:rsidP="0055643A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hanging="1080"/>
      </w:pPr>
      <w:r>
        <w:t xml:space="preserve">Go to </w:t>
      </w:r>
      <w:r w:rsidR="00D0451A" w:rsidRPr="00EE6C73">
        <w:rPr>
          <w:u w:val="single"/>
        </w:rPr>
        <w:t>www.</w:t>
      </w:r>
      <w:r w:rsidR="00627777" w:rsidRPr="00EE6C73">
        <w:rPr>
          <w:u w:val="single"/>
        </w:rPr>
        <w:t>lawschool.westlaw.com</w:t>
      </w:r>
      <w:r w:rsidR="00627777">
        <w:t xml:space="preserve">.  </w:t>
      </w:r>
    </w:p>
    <w:p w:rsidR="00EE6C73" w:rsidRDefault="00EE6C73" w:rsidP="008B33AA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t xml:space="preserve">Enter your </w:t>
      </w:r>
      <w:proofErr w:type="spellStart"/>
      <w:r>
        <w:t>OnePass</w:t>
      </w:r>
      <w:proofErr w:type="spellEnd"/>
      <w:r w:rsidR="008B33AA">
        <w:t xml:space="preserve"> Username and Password</w:t>
      </w:r>
      <w:r w:rsidR="00665B31">
        <w:t>.  C</w:t>
      </w:r>
      <w:r w:rsidR="008B33AA">
        <w:t xml:space="preserve">lick </w:t>
      </w:r>
      <w:r w:rsidR="00665B31">
        <w:rPr>
          <w:u w:val="single"/>
        </w:rPr>
        <w:t>Sign I</w:t>
      </w:r>
      <w:r w:rsidR="008B33AA">
        <w:rPr>
          <w:u w:val="single"/>
        </w:rPr>
        <w:t>n</w:t>
      </w:r>
      <w:r w:rsidR="008B33AA">
        <w:t>.</w:t>
      </w:r>
    </w:p>
    <w:p w:rsidR="00665B31" w:rsidRDefault="004C6458" w:rsidP="00665B31">
      <w:pPr>
        <w:spacing w:after="240"/>
        <w:ind w:left="720"/>
      </w:pPr>
      <w:r>
        <w:rPr>
          <w:noProof/>
        </w:rPr>
        <w:drawing>
          <wp:inline distT="0" distB="0" distL="0" distR="0">
            <wp:extent cx="2806700" cy="2637155"/>
            <wp:effectExtent l="0" t="0" r="0" b="0"/>
            <wp:docPr id="6" name="Picture 4" descr="SNAGHTMLa58f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AGHTMLa58f8f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B31" w:rsidRDefault="00665B31" w:rsidP="002C0D47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t xml:space="preserve">You should now see the Westlaw “Home” page.  Click </w:t>
      </w:r>
      <w:r w:rsidRPr="00665B31">
        <w:rPr>
          <w:u w:val="single"/>
        </w:rPr>
        <w:t>TWEN</w:t>
      </w:r>
      <w:r>
        <w:t xml:space="preserve"> at the top of the page.</w:t>
      </w:r>
    </w:p>
    <w:p w:rsidR="00665B31" w:rsidRDefault="004C6458" w:rsidP="00665B31">
      <w:pPr>
        <w:spacing w:after="240"/>
        <w:ind w:left="720"/>
      </w:pPr>
      <w:r>
        <w:rPr>
          <w:noProof/>
        </w:rPr>
        <w:drawing>
          <wp:inline distT="0" distB="0" distL="0" distR="0">
            <wp:extent cx="4880610" cy="1541780"/>
            <wp:effectExtent l="0" t="0" r="0" b="1270"/>
            <wp:docPr id="7" name="Picture 7" descr="SNAGHTMLa5e3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NAGHTMLa5e33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0B2" w:rsidRDefault="00665B31" w:rsidP="002C0D47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t xml:space="preserve">You should now see the </w:t>
      </w:r>
      <w:r w:rsidR="00647B0C">
        <w:t>“</w:t>
      </w:r>
      <w:r w:rsidR="00B74EE2">
        <w:t xml:space="preserve">My Courses” page.  Click </w:t>
      </w:r>
      <w:r w:rsidR="00B74EE2" w:rsidRPr="002C0D47">
        <w:rPr>
          <w:u w:val="single"/>
        </w:rPr>
        <w:t>Add Course</w:t>
      </w:r>
      <w:r w:rsidR="00B74EE2">
        <w:t xml:space="preserve"> at the top of the My Courses page. </w:t>
      </w:r>
    </w:p>
    <w:p w:rsidR="009B60B2" w:rsidRDefault="004C6458" w:rsidP="00336BED">
      <w:pPr>
        <w:tabs>
          <w:tab w:val="num" w:pos="720"/>
        </w:tabs>
        <w:spacing w:after="240"/>
        <w:ind w:left="1080" w:hanging="360"/>
      </w:pPr>
      <w:r>
        <w:rPr>
          <w:noProof/>
        </w:rPr>
        <w:drawing>
          <wp:inline distT="0" distB="0" distL="0" distR="0">
            <wp:extent cx="4933315" cy="1371600"/>
            <wp:effectExtent l="0" t="0" r="635" b="0"/>
            <wp:docPr id="8" name="Picture 6" descr="SNAGHTMLa5df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AGHTMLa5df52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F1C" w:rsidRDefault="00D23A59" w:rsidP="00336BED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br w:type="page"/>
      </w:r>
      <w:r w:rsidR="00B74EE2">
        <w:lastRenderedPageBreak/>
        <w:t>The TWEN courses that are available for you will be displayed.</w:t>
      </w:r>
      <w:r w:rsidR="009B60B2">
        <w:t xml:space="preserve">  </w:t>
      </w:r>
      <w:r w:rsidR="00354F1C" w:rsidRPr="00281AA5">
        <w:t>Under</w:t>
      </w:r>
      <w:r w:rsidR="00354F1C">
        <w:t xml:space="preserve"> University of Memphis, </w:t>
      </w:r>
      <w:r w:rsidR="00281AA5">
        <w:t xml:space="preserve">you should see a course named </w:t>
      </w:r>
      <w:r w:rsidR="00354F1C">
        <w:t xml:space="preserve">LEGAL METHODS – Wilson (Full Year </w:t>
      </w:r>
      <w:r>
        <w:t>2</w:t>
      </w:r>
      <w:r w:rsidR="00281AA5">
        <w:t>01</w:t>
      </w:r>
      <w:r w:rsidR="00BF5569">
        <w:t>6-2017</w:t>
      </w:r>
      <w:r w:rsidR="00354F1C">
        <w:t>).</w:t>
      </w:r>
      <w:r w:rsidR="00281AA5">
        <w:t xml:space="preserve">  Click </w:t>
      </w:r>
      <w:r w:rsidR="00281AA5">
        <w:rPr>
          <w:u w:val="single"/>
        </w:rPr>
        <w:t>Add.</w:t>
      </w:r>
    </w:p>
    <w:p w:rsidR="00B74EE2" w:rsidRDefault="00354F1C" w:rsidP="00336BED">
      <w:pPr>
        <w:numPr>
          <w:ilvl w:val="1"/>
          <w:numId w:val="2"/>
        </w:numPr>
        <w:tabs>
          <w:tab w:val="num" w:pos="720"/>
        </w:tabs>
        <w:spacing w:after="240"/>
        <w:ind w:hanging="630"/>
      </w:pPr>
      <w:r>
        <w:t xml:space="preserve">NOTE:  If your other professors are also using TWEN, you may want to add those courses now too.  </w:t>
      </w:r>
    </w:p>
    <w:p w:rsidR="00336BED" w:rsidRDefault="00281AA5" w:rsidP="00336BED">
      <w:pPr>
        <w:spacing w:after="240"/>
        <w:ind w:left="720"/>
      </w:pPr>
      <w:r>
        <w:rPr>
          <w:noProof/>
        </w:rPr>
        <w:drawing>
          <wp:inline distT="0" distB="0" distL="0" distR="0" wp14:anchorId="20F49373" wp14:editId="2FC721EE">
            <wp:extent cx="4857750" cy="2086610"/>
            <wp:effectExtent l="19050" t="19050" r="19050" b="279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866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5FAA" w:rsidRDefault="00425FAA" w:rsidP="0055643A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hanging="1080"/>
      </w:pPr>
      <w:r>
        <w:t xml:space="preserve">Scroll to the bottom of the </w:t>
      </w:r>
      <w:r w:rsidR="002502AF">
        <w:t xml:space="preserve">window </w:t>
      </w:r>
      <w:r>
        <w:t xml:space="preserve">and click </w:t>
      </w:r>
      <w:r w:rsidR="00281AA5">
        <w:rPr>
          <w:u w:val="single"/>
        </w:rPr>
        <w:t>Close</w:t>
      </w:r>
      <w:r>
        <w:t xml:space="preserve">. </w:t>
      </w:r>
    </w:p>
    <w:p w:rsidR="00425FAA" w:rsidRDefault="00425FAA" w:rsidP="00336BED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t xml:space="preserve">This will take you back to the My Courses page.  You should see all of the courses you added.  </w:t>
      </w:r>
    </w:p>
    <w:p w:rsidR="00627777" w:rsidRDefault="00425FAA" w:rsidP="00336BED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t xml:space="preserve">On </w:t>
      </w:r>
      <w:r w:rsidR="00627777">
        <w:t xml:space="preserve">your </w:t>
      </w:r>
      <w:r w:rsidR="00201684">
        <w:t>My Courses page,</w:t>
      </w:r>
      <w:r>
        <w:t xml:space="preserve"> click the link for </w:t>
      </w:r>
      <w:r w:rsidRPr="0080362C">
        <w:rPr>
          <w:u w:val="single"/>
        </w:rPr>
        <w:t>LEGAL METHODS – Wilson (Full Year 201</w:t>
      </w:r>
      <w:r w:rsidR="002502AF">
        <w:rPr>
          <w:u w:val="single"/>
        </w:rPr>
        <w:t>6-2017</w:t>
      </w:r>
      <w:r w:rsidRPr="0080362C">
        <w:rPr>
          <w:u w:val="single"/>
        </w:rPr>
        <w:t>)</w:t>
      </w:r>
      <w:r>
        <w:t xml:space="preserve"> to enter the </w:t>
      </w:r>
      <w:r w:rsidR="00627777">
        <w:t xml:space="preserve">Legal Methods </w:t>
      </w:r>
      <w:r w:rsidR="00A84EED">
        <w:t>TWEN C</w:t>
      </w:r>
      <w:r w:rsidR="00627777">
        <w:t>ourse.</w:t>
      </w:r>
    </w:p>
    <w:p w:rsidR="0080362C" w:rsidRDefault="004C6458" w:rsidP="0080362C">
      <w:pPr>
        <w:spacing w:after="240"/>
        <w:ind w:left="720"/>
      </w:pPr>
      <w:r>
        <w:rPr>
          <w:noProof/>
        </w:rPr>
        <w:drawing>
          <wp:inline distT="0" distB="0" distL="0" distR="0">
            <wp:extent cx="4827270" cy="1403350"/>
            <wp:effectExtent l="0" t="0" r="0" b="6350"/>
            <wp:docPr id="10" name="Picture 8" descr="SNAGHTMLa63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NAGHTMLa63905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2C" w:rsidRDefault="0080362C" w:rsidP="0080362C">
      <w:pPr>
        <w:numPr>
          <w:ilvl w:val="0"/>
          <w:numId w:val="2"/>
        </w:numPr>
        <w:tabs>
          <w:tab w:val="clear" w:pos="1080"/>
          <w:tab w:val="num" w:pos="720"/>
        </w:tabs>
        <w:spacing w:after="240"/>
        <w:ind w:left="720"/>
      </w:pPr>
      <w:r>
        <w:t xml:space="preserve">If you have problems registering for TWEN Courses, contact Westlaw technical support at (800) 850-WEST.  </w:t>
      </w:r>
      <w:bookmarkStart w:id="0" w:name="_GoBack"/>
      <w:bookmarkEnd w:id="0"/>
    </w:p>
    <w:sectPr w:rsidR="0080362C" w:rsidSect="0055643A">
      <w:headerReference w:type="default" r:id="rId18"/>
      <w:footerReference w:type="even" r:id="rId19"/>
      <w:footerReference w:type="default" r:id="rId20"/>
      <w:headerReference w:type="first" r:id="rId21"/>
      <w:pgSz w:w="12240" w:h="15840"/>
      <w:pgMar w:top="1440" w:right="1440" w:bottom="810" w:left="1440" w:header="360" w:footer="4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1A" w:rsidRDefault="00286E1A">
      <w:r>
        <w:separator/>
      </w:r>
    </w:p>
  </w:endnote>
  <w:endnote w:type="continuationSeparator" w:id="0">
    <w:p w:rsidR="00286E1A" w:rsidRDefault="002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14" w:rsidRDefault="009C552C" w:rsidP="008C78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6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614" w:rsidRDefault="00D10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F1" w:rsidRDefault="00EB27F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02AF">
      <w:rPr>
        <w:noProof/>
      </w:rPr>
      <w:t>2</w:t>
    </w:r>
    <w:r>
      <w:rPr>
        <w:noProof/>
      </w:rPr>
      <w:fldChar w:fldCharType="end"/>
    </w:r>
  </w:p>
  <w:p w:rsidR="00EB27F1" w:rsidRDefault="00EB27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1A" w:rsidRDefault="00286E1A">
      <w:r>
        <w:separator/>
      </w:r>
    </w:p>
  </w:footnote>
  <w:footnote w:type="continuationSeparator" w:id="0">
    <w:p w:rsidR="00286E1A" w:rsidRDefault="00286E1A">
      <w:r>
        <w:continuationSeparator/>
      </w:r>
    </w:p>
  </w:footnote>
  <w:footnote w:id="1">
    <w:p w:rsidR="00F532E4" w:rsidRDefault="00F532E4">
      <w:pPr>
        <w:pStyle w:val="FootnoteText"/>
      </w:pPr>
      <w:r>
        <w:rPr>
          <w:rStyle w:val="FootnoteReference"/>
        </w:rPr>
        <w:footnoteRef/>
      </w:r>
      <w:r>
        <w:t xml:space="preserve"> Several other </w:t>
      </w:r>
      <w:r w:rsidR="00E95020">
        <w:t xml:space="preserve">classes </w:t>
      </w:r>
      <w:r>
        <w:t xml:space="preserve">will also use TWEN.  </w:t>
      </w:r>
      <w:r w:rsidR="00AB0E3C">
        <w:t xml:space="preserve">Please review the </w:t>
      </w:r>
      <w:r w:rsidR="00E95020">
        <w:t>first assignments and syllabi</w:t>
      </w:r>
      <w:r w:rsidR="00AB0E3C">
        <w:t xml:space="preserve"> for your other </w:t>
      </w:r>
      <w:r w:rsidR="00E95020">
        <w:t>classes</w:t>
      </w:r>
      <w:r w:rsidR="00AB0E3C">
        <w:t xml:space="preserve"> to determine whether you need to register for additional TWEN Courses.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DB" w:rsidRDefault="00A304DB" w:rsidP="00A304D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242" w:rsidRDefault="004C6458" w:rsidP="009B5242">
    <w:pPr>
      <w:pStyle w:val="Header"/>
      <w:tabs>
        <w:tab w:val="clear" w:pos="4680"/>
        <w:tab w:val="clear" w:pos="9360"/>
        <w:tab w:val="left" w:pos="4084"/>
      </w:tabs>
      <w:jc w:val="center"/>
    </w:pPr>
    <w:r>
      <w:rPr>
        <w:noProof/>
      </w:rPr>
      <w:drawing>
        <wp:inline distT="0" distB="0" distL="0" distR="0">
          <wp:extent cx="1616075" cy="733425"/>
          <wp:effectExtent l="0" t="0" r="3175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6D9" w:rsidRDefault="00A556D9" w:rsidP="009B5242">
    <w:pPr>
      <w:pStyle w:val="Header"/>
      <w:tabs>
        <w:tab w:val="clear" w:pos="4680"/>
        <w:tab w:val="clear" w:pos="9360"/>
        <w:tab w:val="left" w:pos="408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258E"/>
    <w:multiLevelType w:val="hybridMultilevel"/>
    <w:tmpl w:val="B6569DFE"/>
    <w:lvl w:ilvl="0" w:tplc="893C2F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E15011"/>
    <w:multiLevelType w:val="hybridMultilevel"/>
    <w:tmpl w:val="E0606B7C"/>
    <w:lvl w:ilvl="0" w:tplc="11C409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9C5E26"/>
    <w:multiLevelType w:val="hybridMultilevel"/>
    <w:tmpl w:val="1B4456C4"/>
    <w:lvl w:ilvl="0" w:tplc="54EEB2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65"/>
    <w:rsid w:val="000022B2"/>
    <w:rsid w:val="00007F38"/>
    <w:rsid w:val="00072E96"/>
    <w:rsid w:val="000A7EDB"/>
    <w:rsid w:val="000B3F21"/>
    <w:rsid w:val="000D5E5A"/>
    <w:rsid w:val="000F68C8"/>
    <w:rsid w:val="001148C1"/>
    <w:rsid w:val="00123976"/>
    <w:rsid w:val="00155E65"/>
    <w:rsid w:val="00156474"/>
    <w:rsid w:val="00201684"/>
    <w:rsid w:val="00226F14"/>
    <w:rsid w:val="002502AF"/>
    <w:rsid w:val="00277C58"/>
    <w:rsid w:val="00281AA5"/>
    <w:rsid w:val="00286B6B"/>
    <w:rsid w:val="00286E1A"/>
    <w:rsid w:val="002879A8"/>
    <w:rsid w:val="002C0D47"/>
    <w:rsid w:val="002E6567"/>
    <w:rsid w:val="003123D0"/>
    <w:rsid w:val="00320E5E"/>
    <w:rsid w:val="00324681"/>
    <w:rsid w:val="00336BED"/>
    <w:rsid w:val="0034226D"/>
    <w:rsid w:val="00343FC7"/>
    <w:rsid w:val="00354F1C"/>
    <w:rsid w:val="00362456"/>
    <w:rsid w:val="00366CD8"/>
    <w:rsid w:val="00366F5E"/>
    <w:rsid w:val="003A35B1"/>
    <w:rsid w:val="003B306A"/>
    <w:rsid w:val="003D2CEF"/>
    <w:rsid w:val="00415B4D"/>
    <w:rsid w:val="004227AA"/>
    <w:rsid w:val="00425FAA"/>
    <w:rsid w:val="0043555D"/>
    <w:rsid w:val="00465F55"/>
    <w:rsid w:val="00474E25"/>
    <w:rsid w:val="00492DC7"/>
    <w:rsid w:val="004A4688"/>
    <w:rsid w:val="004B12B0"/>
    <w:rsid w:val="004C6458"/>
    <w:rsid w:val="004D4275"/>
    <w:rsid w:val="00511B3E"/>
    <w:rsid w:val="005322A4"/>
    <w:rsid w:val="005522E3"/>
    <w:rsid w:val="0055643A"/>
    <w:rsid w:val="00560AF1"/>
    <w:rsid w:val="00571654"/>
    <w:rsid w:val="00582ED1"/>
    <w:rsid w:val="005A25C2"/>
    <w:rsid w:val="005A2D16"/>
    <w:rsid w:val="005C20B7"/>
    <w:rsid w:val="005D653A"/>
    <w:rsid w:val="006122EF"/>
    <w:rsid w:val="00613F05"/>
    <w:rsid w:val="00614E7C"/>
    <w:rsid w:val="00627777"/>
    <w:rsid w:val="00647B0C"/>
    <w:rsid w:val="00665B31"/>
    <w:rsid w:val="00694F33"/>
    <w:rsid w:val="006F5043"/>
    <w:rsid w:val="00720A27"/>
    <w:rsid w:val="00720E52"/>
    <w:rsid w:val="00727AD5"/>
    <w:rsid w:val="00734415"/>
    <w:rsid w:val="0075643E"/>
    <w:rsid w:val="0076720B"/>
    <w:rsid w:val="00784A05"/>
    <w:rsid w:val="0079052D"/>
    <w:rsid w:val="007A1AE3"/>
    <w:rsid w:val="007A1BD4"/>
    <w:rsid w:val="007A5D24"/>
    <w:rsid w:val="007B367D"/>
    <w:rsid w:val="007C1B3B"/>
    <w:rsid w:val="007C7F65"/>
    <w:rsid w:val="007D443F"/>
    <w:rsid w:val="0080362C"/>
    <w:rsid w:val="0080771F"/>
    <w:rsid w:val="008703DE"/>
    <w:rsid w:val="00883C46"/>
    <w:rsid w:val="008B33AA"/>
    <w:rsid w:val="008C788E"/>
    <w:rsid w:val="009614CE"/>
    <w:rsid w:val="00982C13"/>
    <w:rsid w:val="009B5242"/>
    <w:rsid w:val="009B60B2"/>
    <w:rsid w:val="009C254A"/>
    <w:rsid w:val="009C552C"/>
    <w:rsid w:val="009C6F4E"/>
    <w:rsid w:val="00A304DB"/>
    <w:rsid w:val="00A32586"/>
    <w:rsid w:val="00A42A93"/>
    <w:rsid w:val="00A556D9"/>
    <w:rsid w:val="00A56FD6"/>
    <w:rsid w:val="00A84EED"/>
    <w:rsid w:val="00A90A7F"/>
    <w:rsid w:val="00A933C2"/>
    <w:rsid w:val="00AA51E2"/>
    <w:rsid w:val="00AB0E3C"/>
    <w:rsid w:val="00AB27BE"/>
    <w:rsid w:val="00AE280D"/>
    <w:rsid w:val="00B22193"/>
    <w:rsid w:val="00B317FA"/>
    <w:rsid w:val="00B74EE2"/>
    <w:rsid w:val="00B81723"/>
    <w:rsid w:val="00BA11FE"/>
    <w:rsid w:val="00BB1FC3"/>
    <w:rsid w:val="00BB22B6"/>
    <w:rsid w:val="00BC0E18"/>
    <w:rsid w:val="00BD1702"/>
    <w:rsid w:val="00BD66AA"/>
    <w:rsid w:val="00BE10A4"/>
    <w:rsid w:val="00BE41E0"/>
    <w:rsid w:val="00BF0055"/>
    <w:rsid w:val="00BF5569"/>
    <w:rsid w:val="00C12A98"/>
    <w:rsid w:val="00C30AF8"/>
    <w:rsid w:val="00C76070"/>
    <w:rsid w:val="00C776FA"/>
    <w:rsid w:val="00C9182E"/>
    <w:rsid w:val="00C931E2"/>
    <w:rsid w:val="00CB2A56"/>
    <w:rsid w:val="00D0451A"/>
    <w:rsid w:val="00D10614"/>
    <w:rsid w:val="00D23A59"/>
    <w:rsid w:val="00D37209"/>
    <w:rsid w:val="00D43B60"/>
    <w:rsid w:val="00D8704D"/>
    <w:rsid w:val="00D90A21"/>
    <w:rsid w:val="00D96223"/>
    <w:rsid w:val="00D96A8B"/>
    <w:rsid w:val="00DE5678"/>
    <w:rsid w:val="00E43A5C"/>
    <w:rsid w:val="00E84FFD"/>
    <w:rsid w:val="00E95020"/>
    <w:rsid w:val="00E96899"/>
    <w:rsid w:val="00EB27F1"/>
    <w:rsid w:val="00ED1FB9"/>
    <w:rsid w:val="00ED535A"/>
    <w:rsid w:val="00EE6C73"/>
    <w:rsid w:val="00EF0A4F"/>
    <w:rsid w:val="00F1347F"/>
    <w:rsid w:val="00F2686B"/>
    <w:rsid w:val="00F532E4"/>
    <w:rsid w:val="00F71A2E"/>
    <w:rsid w:val="00F926B9"/>
    <w:rsid w:val="00FB493B"/>
    <w:rsid w:val="00FE0BF3"/>
    <w:rsid w:val="00FE743F"/>
    <w:rsid w:val="00FF046F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7BC31E-71F6-4094-AFA4-BAD8391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52C"/>
    <w:rPr>
      <w:sz w:val="24"/>
      <w:szCs w:val="24"/>
    </w:rPr>
  </w:style>
  <w:style w:type="paragraph" w:styleId="Heading1">
    <w:name w:val="heading 1"/>
    <w:basedOn w:val="Normal"/>
    <w:next w:val="Normal"/>
    <w:qFormat/>
    <w:rsid w:val="009C552C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552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106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0614"/>
  </w:style>
  <w:style w:type="paragraph" w:styleId="FootnoteText">
    <w:name w:val="footnote text"/>
    <w:basedOn w:val="Normal"/>
    <w:link w:val="FootnoteTextChar"/>
    <w:rsid w:val="00422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227AA"/>
  </w:style>
  <w:style w:type="character" w:styleId="FootnoteReference">
    <w:name w:val="footnote reference"/>
    <w:rsid w:val="004227AA"/>
    <w:rPr>
      <w:vertAlign w:val="superscript"/>
    </w:rPr>
  </w:style>
  <w:style w:type="character" w:styleId="Strong">
    <w:name w:val="Strong"/>
    <w:uiPriority w:val="22"/>
    <w:qFormat/>
    <w:rsid w:val="00CB2A56"/>
    <w:rPr>
      <w:b/>
      <w:bCs/>
    </w:rPr>
  </w:style>
  <w:style w:type="paragraph" w:styleId="NormalWeb">
    <w:name w:val="Normal (Web)"/>
    <w:basedOn w:val="Normal"/>
    <w:uiPriority w:val="99"/>
    <w:unhideWhenUsed/>
    <w:rsid w:val="00CB2A5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A1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11F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27F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556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school.westlaw.com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846B-9F0A-45FE-98EB-5E35FE07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METHODS</vt:lpstr>
    </vt:vector>
  </TitlesOfParts>
  <Company>UofM</Company>
  <LinksUpToDate>false</LinksUpToDate>
  <CharactersWithSpaces>2008</CharactersWithSpaces>
  <SharedDoc>false</SharedDoc>
  <HLinks>
    <vt:vector size="6" baseType="variant">
      <vt:variant>
        <vt:i4>1048699</vt:i4>
      </vt:variant>
      <vt:variant>
        <vt:i4>0</vt:i4>
      </vt:variant>
      <vt:variant>
        <vt:i4>0</vt:i4>
      </vt:variant>
      <vt:variant>
        <vt:i4>5</vt:i4>
      </vt:variant>
      <vt:variant>
        <vt:lpwstr>mailto:derek.moreton@thomasonreuters.com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METHODS</dc:title>
  <dc:creator>School of Law</dc:creator>
  <cp:lastModifiedBy>Jodi L Wilson (jlwlson2)</cp:lastModifiedBy>
  <cp:revision>3</cp:revision>
  <cp:lastPrinted>2009-08-04T18:32:00Z</cp:lastPrinted>
  <dcterms:created xsi:type="dcterms:W3CDTF">2016-06-24T20:57:00Z</dcterms:created>
  <dcterms:modified xsi:type="dcterms:W3CDTF">2016-06-24T20:59:00Z</dcterms:modified>
</cp:coreProperties>
</file>