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3404" w14:textId="77777777" w:rsidR="00E11F9D" w:rsidRPr="00946293" w:rsidRDefault="00E11F9D" w:rsidP="00E11F9D">
      <w:pPr>
        <w:jc w:val="center"/>
        <w:rPr>
          <w:rFonts w:eastAsia="Times New Roman" w:cs="Times New Roman"/>
          <w:sz w:val="22"/>
          <w:szCs w:val="22"/>
        </w:rPr>
      </w:pPr>
      <w:r w:rsidRPr="00946293">
        <w:rPr>
          <w:rFonts w:eastAsia="Times New Roman" w:cs="Times New Roman"/>
          <w:b/>
          <w:bCs/>
          <w:sz w:val="22"/>
          <w:szCs w:val="22"/>
        </w:rPr>
        <w:t xml:space="preserve">The Path of Least Resistance: How Marginalized Communities are Targeted </w:t>
      </w:r>
      <w:proofErr w:type="gramStart"/>
      <w:r w:rsidRPr="00946293">
        <w:rPr>
          <w:rFonts w:eastAsia="Times New Roman" w:cs="Times New Roman"/>
          <w:b/>
          <w:bCs/>
          <w:sz w:val="22"/>
          <w:szCs w:val="22"/>
        </w:rPr>
        <w:t>By</w:t>
      </w:r>
      <w:proofErr w:type="gramEnd"/>
      <w:r w:rsidRPr="00946293">
        <w:rPr>
          <w:rFonts w:eastAsia="Times New Roman" w:cs="Times New Roman"/>
          <w:b/>
          <w:bCs/>
          <w:sz w:val="22"/>
          <w:szCs w:val="22"/>
        </w:rPr>
        <w:t xml:space="preserve"> Harmful Infrastructure and Land Uses.</w:t>
      </w:r>
    </w:p>
    <w:p w14:paraId="669F483B" w14:textId="77777777" w:rsidR="00E11F9D" w:rsidRPr="00946293" w:rsidRDefault="00E11F9D" w:rsidP="00E11F9D">
      <w:pPr>
        <w:jc w:val="center"/>
        <w:rPr>
          <w:rFonts w:eastAsia="Times New Roman" w:cs="Times New Roman"/>
          <w:sz w:val="22"/>
          <w:szCs w:val="22"/>
        </w:rPr>
      </w:pPr>
      <w:r w:rsidRPr="00946293">
        <w:rPr>
          <w:rFonts w:eastAsia="Times New Roman" w:cs="Times New Roman"/>
          <w:sz w:val="22"/>
          <w:szCs w:val="22"/>
        </w:rPr>
        <w:t xml:space="preserve">Volume 54 </w:t>
      </w:r>
      <w:r w:rsidRPr="00946293">
        <w:rPr>
          <w:rFonts w:eastAsia="Times New Roman" w:cs="Times New Roman"/>
          <w:i/>
          <w:iCs/>
          <w:sz w:val="22"/>
          <w:szCs w:val="22"/>
        </w:rPr>
        <w:t>The University of Memphis law Review</w:t>
      </w:r>
      <w:r w:rsidRPr="00946293">
        <w:rPr>
          <w:rFonts w:eastAsia="Times New Roman" w:cs="Times New Roman"/>
          <w:sz w:val="22"/>
          <w:szCs w:val="22"/>
        </w:rPr>
        <w:t xml:space="preserve"> </w:t>
      </w:r>
    </w:p>
    <w:p w14:paraId="07A2E3EB" w14:textId="77777777" w:rsidR="00E11F9D" w:rsidRPr="00946293" w:rsidRDefault="00E11F9D" w:rsidP="00E11F9D">
      <w:pPr>
        <w:jc w:val="center"/>
        <w:rPr>
          <w:rFonts w:eastAsia="Times New Roman" w:cs="Times New Roman"/>
          <w:sz w:val="22"/>
          <w:szCs w:val="22"/>
        </w:rPr>
      </w:pPr>
    </w:p>
    <w:p w14:paraId="0F0E51BE" w14:textId="3CAA61F7" w:rsidR="00E11F9D" w:rsidRPr="00946293" w:rsidRDefault="00E11F9D" w:rsidP="00E11F9D">
      <w:pPr>
        <w:jc w:val="center"/>
        <w:rPr>
          <w:rFonts w:eastAsia="Times New Roman" w:cs="Times New Roman"/>
          <w:sz w:val="22"/>
          <w:szCs w:val="22"/>
        </w:rPr>
      </w:pPr>
      <w:r w:rsidRPr="00946293">
        <w:rPr>
          <w:rFonts w:eastAsia="Times New Roman" w:cs="Times New Roman"/>
          <w:b/>
          <w:bCs/>
          <w:sz w:val="22"/>
          <w:szCs w:val="22"/>
        </w:rPr>
        <w:t>CLE Program Attendee Form</w:t>
      </w:r>
      <w:r w:rsidRPr="00946293">
        <w:rPr>
          <w:rFonts w:eastAsia="Times New Roman" w:cs="Times New Roman"/>
          <w:sz w:val="22"/>
          <w:szCs w:val="22"/>
        </w:rPr>
        <w:t xml:space="preserve"> </w:t>
      </w:r>
    </w:p>
    <w:p w14:paraId="29DC79FF" w14:textId="77777777" w:rsidR="00E11F9D" w:rsidRPr="00946293" w:rsidRDefault="00E11F9D" w:rsidP="00E11F9D">
      <w:pPr>
        <w:jc w:val="center"/>
        <w:rPr>
          <w:rFonts w:eastAsia="Times New Roman" w:cs="Times New Roman"/>
          <w:sz w:val="22"/>
          <w:szCs w:val="22"/>
        </w:rPr>
      </w:pPr>
    </w:p>
    <w:p w14:paraId="7A035BEE" w14:textId="4809D094" w:rsidR="00E11F9D" w:rsidRPr="00946293" w:rsidRDefault="00E11F9D" w:rsidP="00E11F9D">
      <w:pPr>
        <w:jc w:val="both"/>
        <w:rPr>
          <w:rFonts w:eastAsia="Times New Roman" w:cs="Times New Roman"/>
          <w:sz w:val="22"/>
          <w:szCs w:val="22"/>
        </w:rPr>
      </w:pPr>
      <w:r w:rsidRPr="00946293">
        <w:rPr>
          <w:rFonts w:eastAsia="Times New Roman" w:cs="Times New Roman"/>
          <w:i/>
          <w:iCs/>
          <w:sz w:val="22"/>
          <w:szCs w:val="22"/>
        </w:rPr>
        <w:t xml:space="preserve">The Law Review thanks you for attending its annual Symposium! The Tennessee </w:t>
      </w:r>
      <w:r w:rsidR="00202920" w:rsidRPr="00946293">
        <w:rPr>
          <w:rFonts w:eastAsia="Times New Roman" w:cs="Times New Roman"/>
          <w:i/>
          <w:iCs/>
          <w:sz w:val="22"/>
          <w:szCs w:val="22"/>
        </w:rPr>
        <w:t>Commission on Continuing Legal Education has approved a total of 5.83 general CLE hours for this event.</w:t>
      </w:r>
      <w:r w:rsidR="00940E0F">
        <w:rPr>
          <w:rFonts w:eastAsia="Times New Roman" w:cs="Times New Roman"/>
          <w:i/>
          <w:iCs/>
          <w:sz w:val="22"/>
          <w:szCs w:val="22"/>
        </w:rPr>
        <w:t xml:space="preserve"> This event is approved for 5.5 general hours in Arkansas and 5.8 general hours in Mississippi.</w:t>
      </w:r>
      <w:r w:rsidR="00202920" w:rsidRPr="00946293">
        <w:rPr>
          <w:rFonts w:eastAsia="Times New Roman" w:cs="Times New Roman"/>
          <w:i/>
          <w:iCs/>
          <w:sz w:val="22"/>
          <w:szCs w:val="22"/>
        </w:rPr>
        <w:t xml:space="preserve"> Please submit this completed form to the </w:t>
      </w:r>
      <w:r w:rsidR="00202920" w:rsidRPr="00946293">
        <w:rPr>
          <w:rFonts w:eastAsia="Times New Roman" w:cs="Times New Roman"/>
          <w:sz w:val="22"/>
          <w:szCs w:val="22"/>
        </w:rPr>
        <w:t>Memphis Law Review</w:t>
      </w:r>
      <w:r w:rsidR="00202920" w:rsidRPr="00946293">
        <w:rPr>
          <w:rFonts w:eastAsia="Times New Roman" w:cs="Times New Roman"/>
          <w:i/>
          <w:iCs/>
          <w:sz w:val="22"/>
          <w:szCs w:val="22"/>
        </w:rPr>
        <w:t xml:space="preserve"> staff at the registration tables in the lobby of the Law School. </w:t>
      </w:r>
      <w:r w:rsidR="00202920" w:rsidRPr="00946293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 xml:space="preserve">You must submit this form on the day of the Symposium to receive CLE credit. There will be absolutely no exceptions for attendees who fail to submit a completed form at the end of the event.  </w:t>
      </w:r>
    </w:p>
    <w:p w14:paraId="3DE0E79E" w14:textId="77777777" w:rsidR="00202920" w:rsidRPr="00946293" w:rsidRDefault="00202920" w:rsidP="00E11F9D">
      <w:pPr>
        <w:jc w:val="both"/>
        <w:rPr>
          <w:rFonts w:eastAsia="Times New Roman" w:cs="Times New Roman"/>
          <w:sz w:val="22"/>
          <w:szCs w:val="22"/>
        </w:rPr>
      </w:pPr>
    </w:p>
    <w:p w14:paraId="2081B71D" w14:textId="6557F41F" w:rsidR="00202920" w:rsidRPr="00946293" w:rsidRDefault="00202920" w:rsidP="00202920">
      <w:pPr>
        <w:ind w:left="2160" w:hanging="2160"/>
        <w:jc w:val="both"/>
        <w:rPr>
          <w:rFonts w:eastAsia="Times New Roman" w:cs="Times New Roman"/>
          <w:sz w:val="22"/>
          <w:szCs w:val="22"/>
        </w:rPr>
      </w:pPr>
      <w:r w:rsidRPr="00946293">
        <w:rPr>
          <w:rFonts w:eastAsia="Times New Roman" w:cs="Times New Roman"/>
          <w:b/>
          <w:bCs/>
          <w:sz w:val="22"/>
          <w:szCs w:val="22"/>
        </w:rPr>
        <w:t>Course Title:</w:t>
      </w:r>
      <w:r w:rsidRPr="00946293">
        <w:rPr>
          <w:rFonts w:eastAsia="Times New Roman" w:cs="Times New Roman"/>
          <w:sz w:val="22"/>
          <w:szCs w:val="22"/>
        </w:rPr>
        <w:t xml:space="preserve"> </w:t>
      </w:r>
      <w:r w:rsidRPr="00946293">
        <w:rPr>
          <w:rFonts w:eastAsia="Times New Roman" w:cs="Times New Roman"/>
          <w:sz w:val="22"/>
          <w:szCs w:val="22"/>
        </w:rPr>
        <w:tab/>
        <w:t xml:space="preserve">The Path of Least Resistance: How Marginalized Communities Are Targeted by Harmful Infrastructure and Land Uses. </w:t>
      </w:r>
    </w:p>
    <w:p w14:paraId="4CE019E8" w14:textId="54DC015B" w:rsidR="00202920" w:rsidRPr="00946293" w:rsidRDefault="00202920" w:rsidP="00202920">
      <w:pPr>
        <w:jc w:val="both"/>
        <w:rPr>
          <w:rFonts w:eastAsia="Times New Roman" w:cs="Times New Roman"/>
          <w:sz w:val="22"/>
          <w:szCs w:val="22"/>
        </w:rPr>
      </w:pPr>
      <w:r w:rsidRPr="00946293">
        <w:rPr>
          <w:rFonts w:eastAsia="Times New Roman" w:cs="Times New Roman"/>
          <w:b/>
          <w:bCs/>
          <w:sz w:val="22"/>
          <w:szCs w:val="22"/>
        </w:rPr>
        <w:t>Course Number:</w:t>
      </w:r>
      <w:r w:rsidRPr="00946293">
        <w:rPr>
          <w:rFonts w:eastAsia="Times New Roman" w:cs="Times New Roman"/>
          <w:sz w:val="22"/>
          <w:szCs w:val="22"/>
        </w:rPr>
        <w:tab/>
      </w:r>
      <w:r w:rsidR="007F3BC6">
        <w:rPr>
          <w:rFonts w:eastAsia="Times New Roman" w:cs="Times New Roman"/>
          <w:sz w:val="22"/>
          <w:szCs w:val="22"/>
        </w:rPr>
        <w:t xml:space="preserve">In-person: </w:t>
      </w:r>
      <w:r w:rsidRPr="00946293">
        <w:rPr>
          <w:rFonts w:eastAsia="Times New Roman" w:cs="Times New Roman"/>
          <w:sz w:val="22"/>
          <w:szCs w:val="22"/>
        </w:rPr>
        <w:t>336525</w:t>
      </w:r>
      <w:r w:rsidR="007F3BC6">
        <w:rPr>
          <w:rFonts w:eastAsia="Times New Roman" w:cs="Times New Roman"/>
          <w:sz w:val="22"/>
          <w:szCs w:val="22"/>
        </w:rPr>
        <w:t xml:space="preserve">  Online: </w:t>
      </w:r>
      <w:r w:rsidR="007F3BC6" w:rsidRPr="005A2A3D">
        <w:rPr>
          <w:rFonts w:eastAsia="Times New Roman" w:cs="Times New Roman"/>
          <w:sz w:val="22"/>
          <w:szCs w:val="22"/>
        </w:rPr>
        <w:t>336534</w:t>
      </w:r>
    </w:p>
    <w:p w14:paraId="18611822" w14:textId="63C9BCF0" w:rsidR="00202920" w:rsidRPr="00946293" w:rsidRDefault="00202920" w:rsidP="00202920">
      <w:pPr>
        <w:ind w:left="2160" w:hanging="2160"/>
        <w:jc w:val="both"/>
        <w:rPr>
          <w:rFonts w:eastAsia="Times New Roman" w:cs="Times New Roman"/>
          <w:sz w:val="22"/>
          <w:szCs w:val="22"/>
        </w:rPr>
      </w:pPr>
      <w:r w:rsidRPr="00946293">
        <w:rPr>
          <w:rFonts w:eastAsia="Times New Roman" w:cs="Times New Roman"/>
          <w:b/>
          <w:bCs/>
          <w:sz w:val="22"/>
          <w:szCs w:val="22"/>
        </w:rPr>
        <w:t>Sponsor:</w:t>
      </w:r>
      <w:r w:rsidRPr="00946293">
        <w:rPr>
          <w:rFonts w:eastAsia="Times New Roman" w:cs="Times New Roman"/>
          <w:sz w:val="22"/>
          <w:szCs w:val="22"/>
        </w:rPr>
        <w:t xml:space="preserve"> </w:t>
      </w:r>
      <w:r w:rsidRPr="00946293">
        <w:rPr>
          <w:rFonts w:eastAsia="Times New Roman" w:cs="Times New Roman"/>
          <w:sz w:val="22"/>
          <w:szCs w:val="22"/>
        </w:rPr>
        <w:tab/>
        <w:t xml:space="preserve">The University of Memphis Cecil C. Humphreys School of Law, </w:t>
      </w:r>
      <w:r w:rsidRPr="00946293">
        <w:rPr>
          <w:rFonts w:eastAsia="Times New Roman" w:cs="Times New Roman"/>
          <w:i/>
          <w:iCs/>
          <w:sz w:val="22"/>
          <w:szCs w:val="22"/>
        </w:rPr>
        <w:t>The University of Memphis Law Review</w:t>
      </w:r>
      <w:r w:rsidRPr="00946293">
        <w:rPr>
          <w:rFonts w:eastAsia="Times New Roman" w:cs="Times New Roman"/>
          <w:sz w:val="22"/>
          <w:szCs w:val="22"/>
        </w:rPr>
        <w:t>, 1 N. Front St., Memphis TN 38013</w:t>
      </w:r>
    </w:p>
    <w:p w14:paraId="4D27CBDB" w14:textId="2127539A" w:rsidR="00202920" w:rsidRPr="00946293" w:rsidRDefault="00202920" w:rsidP="00202920">
      <w:pPr>
        <w:ind w:left="2160" w:hanging="2160"/>
        <w:jc w:val="both"/>
        <w:rPr>
          <w:rFonts w:eastAsia="Times New Roman" w:cs="Times New Roman"/>
          <w:sz w:val="22"/>
          <w:szCs w:val="22"/>
        </w:rPr>
      </w:pPr>
      <w:r w:rsidRPr="00946293">
        <w:rPr>
          <w:rFonts w:eastAsia="Times New Roman" w:cs="Times New Roman"/>
          <w:b/>
          <w:bCs/>
          <w:sz w:val="22"/>
          <w:szCs w:val="22"/>
        </w:rPr>
        <w:t>Date:</w:t>
      </w:r>
      <w:r w:rsidRPr="00946293">
        <w:rPr>
          <w:rFonts w:eastAsia="Times New Roman" w:cs="Times New Roman"/>
          <w:b/>
          <w:bCs/>
          <w:sz w:val="22"/>
          <w:szCs w:val="22"/>
        </w:rPr>
        <w:tab/>
      </w:r>
      <w:r w:rsidRPr="00946293">
        <w:rPr>
          <w:rFonts w:eastAsia="Times New Roman" w:cs="Times New Roman"/>
          <w:sz w:val="22"/>
          <w:szCs w:val="22"/>
        </w:rPr>
        <w:t xml:space="preserve">February 16, 2024 </w:t>
      </w:r>
    </w:p>
    <w:p w14:paraId="45F83DF2" w14:textId="77777777" w:rsidR="00202920" w:rsidRPr="00946293" w:rsidRDefault="00202920" w:rsidP="00202920">
      <w:pPr>
        <w:ind w:left="2160" w:hanging="2160"/>
        <w:jc w:val="both"/>
        <w:rPr>
          <w:rFonts w:eastAsia="Times New Roman" w:cs="Times New Roman"/>
          <w:sz w:val="22"/>
          <w:szCs w:val="22"/>
        </w:rPr>
      </w:pPr>
    </w:p>
    <w:p w14:paraId="7FBB9AB6" w14:textId="751E06B4" w:rsidR="00202920" w:rsidRPr="00946293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  <w:r w:rsidRPr="00946293">
        <w:rPr>
          <w:rFonts w:eastAsia="Times New Roman" w:cs="Times New Roman"/>
          <w:b/>
          <w:bCs/>
          <w:sz w:val="22"/>
          <w:szCs w:val="22"/>
        </w:rPr>
        <w:t xml:space="preserve">Name: ________________________________License Number and </w:t>
      </w:r>
      <w:proofErr w:type="gramStart"/>
      <w:r w:rsidRPr="00946293">
        <w:rPr>
          <w:rFonts w:eastAsia="Times New Roman" w:cs="Times New Roman"/>
          <w:b/>
          <w:bCs/>
          <w:sz w:val="22"/>
          <w:szCs w:val="22"/>
        </w:rPr>
        <w:t>State:_</w:t>
      </w:r>
      <w:proofErr w:type="gramEnd"/>
      <w:r w:rsidRPr="00946293">
        <w:rPr>
          <w:rFonts w:eastAsia="Times New Roman" w:cs="Times New Roman"/>
          <w:b/>
          <w:bCs/>
          <w:sz w:val="22"/>
          <w:szCs w:val="22"/>
        </w:rPr>
        <w:t>_________________</w:t>
      </w:r>
      <w:r w:rsidR="00201BCD">
        <w:rPr>
          <w:rFonts w:eastAsia="Times New Roman" w:cs="Times New Roman"/>
          <w:b/>
          <w:bCs/>
          <w:sz w:val="22"/>
          <w:szCs w:val="22"/>
        </w:rPr>
        <w:t>____</w:t>
      </w:r>
      <w:r w:rsidRPr="00946293">
        <w:rPr>
          <w:rFonts w:eastAsia="Times New Roman" w:cs="Times New Roman"/>
          <w:b/>
          <w:bCs/>
          <w:sz w:val="22"/>
          <w:szCs w:val="22"/>
        </w:rPr>
        <w:t>__</w:t>
      </w:r>
    </w:p>
    <w:p w14:paraId="07C0ED75" w14:textId="77777777" w:rsidR="00202920" w:rsidRPr="00946293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4B152AD6" w14:textId="444E545A" w:rsidR="00202920" w:rsidRPr="00946293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  <w:r w:rsidRPr="00946293">
        <w:rPr>
          <w:rFonts w:eastAsia="Times New Roman" w:cs="Times New Roman"/>
          <w:b/>
          <w:bCs/>
          <w:sz w:val="22"/>
          <w:szCs w:val="22"/>
        </w:rPr>
        <w:t>Address: ______________________________ City, State, Zip Code: ____________________</w:t>
      </w:r>
      <w:r w:rsidR="00201BCD">
        <w:rPr>
          <w:rFonts w:eastAsia="Times New Roman" w:cs="Times New Roman"/>
          <w:b/>
          <w:bCs/>
          <w:sz w:val="22"/>
          <w:szCs w:val="22"/>
        </w:rPr>
        <w:t>___</w:t>
      </w:r>
      <w:r w:rsidRPr="00946293">
        <w:rPr>
          <w:rFonts w:eastAsia="Times New Roman" w:cs="Times New Roman"/>
          <w:b/>
          <w:bCs/>
          <w:sz w:val="22"/>
          <w:szCs w:val="22"/>
        </w:rPr>
        <w:t>____</w:t>
      </w:r>
    </w:p>
    <w:p w14:paraId="59ACC118" w14:textId="410EA59A" w:rsidR="00202920" w:rsidRPr="00946293" w:rsidRDefault="00202920" w:rsidP="00201BCD">
      <w:pPr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55DFEA54" w14:textId="3BF7ACB8" w:rsidR="00202920" w:rsidRPr="00946293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  <w:r w:rsidRPr="00946293">
        <w:rPr>
          <w:rFonts w:eastAsia="Times New Roman" w:cs="Times New Roman"/>
          <w:b/>
          <w:bCs/>
          <w:sz w:val="22"/>
          <w:szCs w:val="22"/>
        </w:rPr>
        <w:t>Phone: ________________________________ Email: _______________________________</w:t>
      </w:r>
      <w:r w:rsidR="00201BCD">
        <w:rPr>
          <w:rFonts w:eastAsia="Times New Roman" w:cs="Times New Roman"/>
          <w:b/>
          <w:bCs/>
          <w:sz w:val="22"/>
          <w:szCs w:val="22"/>
        </w:rPr>
        <w:t>____</w:t>
      </w:r>
      <w:r w:rsidRPr="00946293">
        <w:rPr>
          <w:rFonts w:eastAsia="Times New Roman" w:cs="Times New Roman"/>
          <w:b/>
          <w:bCs/>
          <w:sz w:val="22"/>
          <w:szCs w:val="22"/>
        </w:rPr>
        <w:t>_____</w:t>
      </w:r>
    </w:p>
    <w:p w14:paraId="4C1F7136" w14:textId="77777777" w:rsidR="00202920" w:rsidRPr="00946293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</w:p>
    <w:tbl>
      <w:tblPr>
        <w:tblStyle w:val="TableGrid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4227"/>
        <w:gridCol w:w="895"/>
        <w:gridCol w:w="730"/>
        <w:gridCol w:w="1440"/>
      </w:tblGrid>
      <w:tr w:rsidR="008574DD" w:rsidRPr="00946293" w14:paraId="5FD3BC0F" w14:textId="77777777" w:rsidTr="008574DD">
        <w:tc>
          <w:tcPr>
            <w:tcW w:w="2340" w:type="dxa"/>
            <w:tcBorders>
              <w:top w:val="nil"/>
              <w:bottom w:val="single" w:sz="4" w:space="0" w:color="auto"/>
              <w:right w:val="nil"/>
            </w:tcBorders>
          </w:tcPr>
          <w:p w14:paraId="3DB73021" w14:textId="6341C89D" w:rsidR="00202920" w:rsidRPr="00946293" w:rsidRDefault="00202920" w:rsidP="008574DD">
            <w:pPr>
              <w:jc w:val="center"/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  <w:t>Time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E3E87" w14:textId="59E80C29" w:rsidR="00202920" w:rsidRPr="00946293" w:rsidRDefault="00202920" w:rsidP="008574DD">
            <w:pPr>
              <w:jc w:val="center"/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  <w:t>Title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18109" w14:textId="6AF055F3" w:rsidR="00202920" w:rsidRPr="00946293" w:rsidRDefault="00202920" w:rsidP="008574DD">
            <w:pPr>
              <w:jc w:val="center"/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  <w:t>Hours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FEE64" w14:textId="4A461AD2" w:rsidR="00202920" w:rsidRPr="00946293" w:rsidRDefault="00202920" w:rsidP="008574DD">
            <w:pPr>
              <w:jc w:val="center"/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  <w:t>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</w:tcPr>
          <w:p w14:paraId="42194E0A" w14:textId="211E3574" w:rsidR="00202920" w:rsidRPr="00946293" w:rsidRDefault="00202920" w:rsidP="008574DD">
            <w:pPr>
              <w:jc w:val="center"/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  <w:t>Attended?</w:t>
            </w:r>
          </w:p>
        </w:tc>
      </w:tr>
      <w:tr w:rsidR="008574DD" w:rsidRPr="00946293" w14:paraId="64FEB14B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8E270E7" w14:textId="45C01B48" w:rsidR="00202920" w:rsidRPr="00946293" w:rsidRDefault="00202920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9:15</w:t>
            </w:r>
            <w:r w:rsidR="008574DD"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– 10:00 AM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2122583" w14:textId="49BB0272" w:rsidR="00202920" w:rsidRPr="00946293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i/>
                <w:iCs/>
                <w:sz w:val="22"/>
                <w:szCs w:val="22"/>
              </w:rPr>
              <w:t>Apalachicola, Environmental Justice, and Community Harm under NEPA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D35D308" w14:textId="2F074EC2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.75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4ED957A" w14:textId="0D459B05" w:rsidR="00202920" w:rsidRPr="00946293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GEN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98C434E" w14:textId="77777777" w:rsidR="00202920" w:rsidRPr="00946293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74DD" w:rsidRPr="00946293" w14:paraId="2D875CD6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9E47FA9" w14:textId="00E56828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10:00 – 10:50 AM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</w:tcPr>
          <w:p w14:paraId="6E024212" w14:textId="3C101E94" w:rsidR="00202920" w:rsidRPr="00946293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i/>
                <w:iCs/>
                <w:sz w:val="22"/>
                <w:szCs w:val="22"/>
              </w:rPr>
              <w:t>A New Day for Environmental Justice at the Environmental Protection Agency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7AD97E9" w14:textId="2C628AFA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.83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09A9AABA" w14:textId="40BEF4CE" w:rsidR="00202920" w:rsidRPr="00946293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GEN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D075652" w14:textId="77777777" w:rsidR="00202920" w:rsidRPr="00946293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74DD" w:rsidRPr="00946293" w14:paraId="5CD35715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D013770" w14:textId="5A1C257B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11:00 AM – 12:00 PM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2B89847" w14:textId="19CA888F" w:rsidR="00202920" w:rsidRPr="00946293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i/>
                <w:iCs/>
                <w:sz w:val="22"/>
                <w:szCs w:val="22"/>
              </w:rPr>
              <w:t>EV for EV: Balancing Equity and Viability in Electric Vehicle Infrastructure Law and Policy.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EB6DEC5" w14:textId="68DFDD40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1.00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88CF286" w14:textId="67973F2E" w:rsidR="00202920" w:rsidRPr="00946293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GEN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240D90C" w14:textId="77777777" w:rsidR="00202920" w:rsidRPr="00946293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74DD" w:rsidRPr="00946293" w14:paraId="7900B5C6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2C0A389" w14:textId="6643BA33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1:00 – 2:45 PM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</w:tcPr>
          <w:p w14:paraId="234E8F9F" w14:textId="44CA984C" w:rsidR="00202920" w:rsidRPr="00946293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946293">
              <w:rPr>
                <w:i/>
                <w:iCs/>
                <w:sz w:val="22"/>
                <w:szCs w:val="22"/>
              </w:rPr>
              <w:t>Byhalia Pipeline Panel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7E879DE" w14:textId="220DD732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1.75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4C97E87A" w14:textId="123AA3E5" w:rsidR="00202920" w:rsidRPr="00946293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GEN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ABE7E50" w14:textId="77777777" w:rsidR="00202920" w:rsidRPr="00946293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74DD" w:rsidRPr="00946293" w14:paraId="0251585D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B4A70BB" w14:textId="09C8029B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3:00 – 3:45 PM 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1D37CE4" w14:textId="2DFD3587" w:rsidR="00202920" w:rsidRPr="00946293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946293">
              <w:rPr>
                <w:rFonts w:ascii="TimesNewRomanPS" w:hAnsi="TimesNewRomanPS"/>
                <w:i/>
                <w:iCs/>
                <w:sz w:val="22"/>
                <w:szCs w:val="22"/>
              </w:rPr>
              <w:t>When Justice Destroys Concrete Monsters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96B1132" w14:textId="2CBD2165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.75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B7F60E3" w14:textId="6D35DF18" w:rsidR="00202920" w:rsidRPr="00946293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GEN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0B4C760" w14:textId="77777777" w:rsidR="00202920" w:rsidRPr="00946293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74DD" w:rsidRPr="00946293" w14:paraId="04CF36C7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5B79AE4" w14:textId="04392D77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3:45 – 4:30 PM 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</w:tcPr>
          <w:p w14:paraId="6FBDCBA8" w14:textId="2E4DB115" w:rsidR="00202920" w:rsidRPr="00946293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i/>
                <w:iCs/>
                <w:sz w:val="22"/>
                <w:szCs w:val="22"/>
              </w:rPr>
              <w:t>In Defense of Land and Water Protectors: A response to criminalization of environmental activism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F3AF106" w14:textId="16C19E6F" w:rsidR="00202920" w:rsidRPr="00946293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>.75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733D5542" w14:textId="4C2431BC" w:rsidR="00202920" w:rsidRPr="00946293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GEN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2FCBC44" w14:textId="77777777" w:rsidR="00202920" w:rsidRPr="00946293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62CB0BA" w14:textId="77777777" w:rsidR="00202920" w:rsidRPr="00946293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10FF1B97" w14:textId="156E62F5" w:rsidR="00755884" w:rsidRPr="00946293" w:rsidRDefault="008574DD" w:rsidP="008574DD">
      <w:pPr>
        <w:jc w:val="both"/>
        <w:rPr>
          <w:sz w:val="22"/>
          <w:szCs w:val="22"/>
        </w:rPr>
      </w:pPr>
      <w:r w:rsidRPr="00946293">
        <w:rPr>
          <w:sz w:val="22"/>
          <w:szCs w:val="22"/>
        </w:rPr>
        <w:tab/>
      </w:r>
      <w:r w:rsidRPr="00946293">
        <w:rPr>
          <w:sz w:val="22"/>
          <w:szCs w:val="22"/>
        </w:rPr>
        <w:tab/>
      </w:r>
      <w:r w:rsidRPr="00946293">
        <w:rPr>
          <w:sz w:val="22"/>
          <w:szCs w:val="22"/>
        </w:rPr>
        <w:tab/>
      </w:r>
      <w:r w:rsidRPr="00946293">
        <w:rPr>
          <w:sz w:val="22"/>
          <w:szCs w:val="22"/>
        </w:rPr>
        <w:tab/>
      </w:r>
      <w:r w:rsidRPr="00946293">
        <w:rPr>
          <w:sz w:val="22"/>
          <w:szCs w:val="22"/>
        </w:rPr>
        <w:tab/>
      </w:r>
      <w:r w:rsidRPr="00946293">
        <w:rPr>
          <w:sz w:val="22"/>
          <w:szCs w:val="22"/>
        </w:rPr>
        <w:tab/>
      </w:r>
      <w:r w:rsidRPr="00946293">
        <w:rPr>
          <w:sz w:val="22"/>
          <w:szCs w:val="22"/>
        </w:rPr>
        <w:tab/>
      </w:r>
      <w:r w:rsidRPr="00946293">
        <w:rPr>
          <w:sz w:val="22"/>
          <w:szCs w:val="22"/>
        </w:rPr>
        <w:tab/>
        <w:t>Total Hours Attended: ______</w:t>
      </w:r>
      <w:r w:rsidR="00201BCD">
        <w:rPr>
          <w:sz w:val="22"/>
          <w:szCs w:val="22"/>
        </w:rPr>
        <w:t>___</w:t>
      </w:r>
      <w:r w:rsidRPr="00946293">
        <w:rPr>
          <w:sz w:val="22"/>
          <w:szCs w:val="22"/>
        </w:rPr>
        <w:t>_____</w:t>
      </w:r>
    </w:p>
    <w:p w14:paraId="027B5A48" w14:textId="77777777" w:rsidR="008574DD" w:rsidRPr="00946293" w:rsidRDefault="008574DD" w:rsidP="008574DD">
      <w:pPr>
        <w:jc w:val="both"/>
        <w:rPr>
          <w:sz w:val="22"/>
          <w:szCs w:val="22"/>
        </w:rPr>
      </w:pPr>
    </w:p>
    <w:p w14:paraId="1A4AA2BC" w14:textId="77777777" w:rsidR="008574DD" w:rsidRPr="00946293" w:rsidRDefault="008574DD" w:rsidP="008574DD">
      <w:pPr>
        <w:jc w:val="both"/>
        <w:rPr>
          <w:sz w:val="22"/>
          <w:szCs w:val="22"/>
        </w:rPr>
      </w:pPr>
    </w:p>
    <w:p w14:paraId="27F17FDA" w14:textId="7603E146" w:rsidR="008574DD" w:rsidRPr="00946293" w:rsidRDefault="008574DD" w:rsidP="008574DD">
      <w:pPr>
        <w:jc w:val="both"/>
        <w:rPr>
          <w:b/>
          <w:bCs/>
          <w:sz w:val="22"/>
          <w:szCs w:val="22"/>
        </w:rPr>
      </w:pPr>
      <w:r w:rsidRPr="00946293">
        <w:rPr>
          <w:b/>
          <w:bCs/>
          <w:sz w:val="22"/>
          <w:szCs w:val="22"/>
        </w:rPr>
        <w:t>Signature: ______________________________________Date: ______________________</w:t>
      </w:r>
      <w:r w:rsidR="00201BCD">
        <w:rPr>
          <w:b/>
          <w:bCs/>
          <w:sz w:val="22"/>
          <w:szCs w:val="22"/>
        </w:rPr>
        <w:t>_______</w:t>
      </w:r>
      <w:r w:rsidRPr="00946293">
        <w:rPr>
          <w:b/>
          <w:bCs/>
          <w:sz w:val="22"/>
          <w:szCs w:val="22"/>
        </w:rPr>
        <w:t>___</w:t>
      </w:r>
    </w:p>
    <w:sectPr w:rsidR="008574DD" w:rsidRPr="009462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6982" w14:textId="77777777" w:rsidR="00CD2965" w:rsidRDefault="00CD2965" w:rsidP="00946293">
      <w:r>
        <w:separator/>
      </w:r>
    </w:p>
  </w:endnote>
  <w:endnote w:type="continuationSeparator" w:id="0">
    <w:p w14:paraId="3233E9F5" w14:textId="77777777" w:rsidR="00CD2965" w:rsidRDefault="00CD2965" w:rsidP="0094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9889" w14:textId="77777777" w:rsidR="00CD2965" w:rsidRDefault="00CD2965" w:rsidP="00946293">
      <w:r>
        <w:separator/>
      </w:r>
    </w:p>
  </w:footnote>
  <w:footnote w:type="continuationSeparator" w:id="0">
    <w:p w14:paraId="7C683E8C" w14:textId="77777777" w:rsidR="00CD2965" w:rsidRDefault="00CD2965" w:rsidP="0094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65"/>
      <w:gridCol w:w="4665"/>
    </w:tblGrid>
    <w:tr w:rsidR="00946293" w:rsidRPr="00393C17" w14:paraId="0FAB37BE" w14:textId="77777777" w:rsidTr="00D70BBC"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5B9B135C" w14:textId="23728616" w:rsidR="00946293" w:rsidRPr="00393C17" w:rsidRDefault="00946293" w:rsidP="00946293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noProof/>
            </w:rPr>
            <w:drawing>
              <wp:inline distT="0" distB="0" distL="0" distR="0" wp14:anchorId="36862F5E" wp14:editId="54D3FD97">
                <wp:extent cx="2788285" cy="1266825"/>
                <wp:effectExtent l="0" t="0" r="5715" b="3175"/>
                <wp:docPr id="1357008576" name="Picture 1357008576" descr="/var/folders/lm/dqwhjv7x3p3dxhmqqbw2yydm0000gn/T/com.microsoft.Word/Content.MSO/A1CB342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var/folders/lm/dqwhjv7x3p3dxhmqqbw2yydm0000gn/T/com.microsoft.Word/Content.MSO/A1CB342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828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93C17">
            <w:rPr>
              <w:rFonts w:eastAsia="Times New Roman" w:cs="Times New Roman"/>
            </w:rPr>
            <w:t> </w:t>
          </w: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74285B0" w14:textId="77777777" w:rsidR="00946293" w:rsidRPr="00393C17" w:rsidRDefault="00946293" w:rsidP="00946293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Cecil C. Humphreys School of Law </w:t>
          </w:r>
        </w:p>
        <w:p w14:paraId="7E0FA5E6" w14:textId="77777777" w:rsidR="00946293" w:rsidRPr="00393C17" w:rsidRDefault="00946293" w:rsidP="00946293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  <w:i/>
              <w:iCs/>
            </w:rPr>
            <w:t>The University of Memphis Law Review</w:t>
          </w:r>
          <w:r w:rsidRPr="00393C17">
            <w:rPr>
              <w:rFonts w:eastAsia="Times New Roman" w:cs="Times New Roman"/>
            </w:rPr>
            <w:t> </w:t>
          </w:r>
        </w:p>
        <w:p w14:paraId="395C5726" w14:textId="77777777" w:rsidR="00946293" w:rsidRPr="00393C17" w:rsidRDefault="00946293" w:rsidP="00946293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1 North Front Street </w:t>
          </w:r>
        </w:p>
        <w:p w14:paraId="26882A8B" w14:textId="77777777" w:rsidR="00946293" w:rsidRPr="00393C17" w:rsidRDefault="00946293" w:rsidP="00946293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Memphis, TN 38103-2189 </w:t>
          </w:r>
        </w:p>
        <w:p w14:paraId="50D4D2E3" w14:textId="77777777" w:rsidR="00946293" w:rsidRPr="00393C17" w:rsidRDefault="00946293" w:rsidP="00946293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 </w:t>
          </w:r>
        </w:p>
      </w:tc>
    </w:tr>
  </w:tbl>
  <w:p w14:paraId="0242F335" w14:textId="6CC02C5B" w:rsidR="00946293" w:rsidRDefault="00946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D"/>
    <w:rsid w:val="00201BCD"/>
    <w:rsid w:val="00202920"/>
    <w:rsid w:val="0040679C"/>
    <w:rsid w:val="006813CD"/>
    <w:rsid w:val="0073035E"/>
    <w:rsid w:val="00755884"/>
    <w:rsid w:val="007F3BC6"/>
    <w:rsid w:val="008574DD"/>
    <w:rsid w:val="00940E0F"/>
    <w:rsid w:val="00946293"/>
    <w:rsid w:val="00A65911"/>
    <w:rsid w:val="00C52300"/>
    <w:rsid w:val="00CD2965"/>
    <w:rsid w:val="00E1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36AF8"/>
  <w15:chartTrackingRefBased/>
  <w15:docId w15:val="{46876984-7D56-6641-95BF-3B56C1CF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293"/>
  </w:style>
  <w:style w:type="paragraph" w:styleId="Footer">
    <w:name w:val="footer"/>
    <w:basedOn w:val="Normal"/>
    <w:link w:val="FooterChar"/>
    <w:uiPriority w:val="99"/>
    <w:unhideWhenUsed/>
    <w:rsid w:val="00946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Ashlie Nicole Gozikowski (ngzkwski)</dc:creator>
  <cp:keywords/>
  <dc:description/>
  <cp:lastModifiedBy>Ashlie Nicole Gozikowski (ngzkwski)</cp:lastModifiedBy>
  <cp:revision>6</cp:revision>
  <dcterms:created xsi:type="dcterms:W3CDTF">2024-01-26T17:42:00Z</dcterms:created>
  <dcterms:modified xsi:type="dcterms:W3CDTF">2024-02-12T16:40:00Z</dcterms:modified>
</cp:coreProperties>
</file>