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30D1" w14:textId="3EE83D23" w:rsidR="007E36DB" w:rsidRPr="00273978" w:rsidRDefault="007E36DB" w:rsidP="007E36DB">
      <w:pPr>
        <w:rPr>
          <w:rFonts w:ascii="Arial" w:hAnsi="Arial" w:cs="Arial"/>
          <w:sz w:val="20"/>
        </w:rPr>
      </w:pPr>
      <w:r w:rsidRPr="00273978">
        <w:rPr>
          <w:rFonts w:ascii="Arial" w:hAnsi="Arial" w:cs="Arial"/>
          <w:sz w:val="20"/>
        </w:rPr>
        <w:t xml:space="preserve">The U.S. Department of Health and Human Services and </w:t>
      </w:r>
      <w:r w:rsidR="001745CB" w:rsidRPr="00273978">
        <w:rPr>
          <w:rFonts w:ascii="Arial" w:hAnsi="Arial" w:cs="Arial"/>
          <w:sz w:val="20"/>
        </w:rPr>
        <w:t>Office for Human Subjects Protections</w:t>
      </w:r>
      <w:r w:rsidRPr="00273978">
        <w:rPr>
          <w:rFonts w:ascii="Arial" w:hAnsi="Arial" w:cs="Arial"/>
          <w:sz w:val="20"/>
        </w:rPr>
        <w:t> </w:t>
      </w:r>
      <w:hyperlink r:id="rId7" w:tgtFrame="_blank" w:history="1">
        <w:r w:rsidRPr="00273978">
          <w:rPr>
            <w:rStyle w:val="Hyperlink"/>
            <w:rFonts w:ascii="Arial" w:hAnsi="Arial" w:cs="Arial"/>
            <w:sz w:val="20"/>
          </w:rPr>
          <w:t>Final Revisions to the Common Rule</w:t>
        </w:r>
      </w:hyperlink>
      <w:r w:rsidRPr="00273978">
        <w:rPr>
          <w:rFonts w:ascii="Arial" w:hAnsi="Arial" w:cs="Arial"/>
          <w:sz w:val="20"/>
        </w:rPr>
        <w:t> </w:t>
      </w:r>
      <w:r w:rsidR="007F19D4">
        <w:rPr>
          <w:rFonts w:ascii="Arial" w:hAnsi="Arial" w:cs="Arial"/>
          <w:sz w:val="20"/>
        </w:rPr>
        <w:t xml:space="preserve">went </w:t>
      </w:r>
      <w:r w:rsidRPr="00273978">
        <w:rPr>
          <w:rFonts w:ascii="Arial" w:hAnsi="Arial" w:cs="Arial"/>
          <w:sz w:val="20"/>
        </w:rPr>
        <w:t>into effect on </w:t>
      </w:r>
      <w:r w:rsidRPr="00273978">
        <w:rPr>
          <w:rFonts w:ascii="Arial" w:hAnsi="Arial" w:cs="Arial"/>
          <w:b/>
          <w:bCs/>
          <w:sz w:val="20"/>
        </w:rPr>
        <w:t>January 19, 2019. </w:t>
      </w:r>
      <w:r w:rsidRPr="00273978">
        <w:rPr>
          <w:rFonts w:ascii="Arial" w:hAnsi="Arial" w:cs="Arial"/>
          <w:sz w:val="20"/>
        </w:rPr>
        <w:t> </w:t>
      </w:r>
    </w:p>
    <w:p w14:paraId="730E0133" w14:textId="40623DB7" w:rsidR="007E36DB" w:rsidRPr="000139AC" w:rsidRDefault="007E36DB" w:rsidP="000139AC">
      <w:pPr>
        <w:jc w:val="center"/>
        <w:rPr>
          <w:rFonts w:ascii="Arial" w:hAnsi="Arial" w:cs="Arial"/>
          <w:b/>
          <w:bCs/>
          <w:u w:val="single"/>
        </w:rPr>
      </w:pPr>
      <w:r w:rsidRPr="000139AC">
        <w:rPr>
          <w:rFonts w:ascii="Arial" w:hAnsi="Arial" w:cs="Arial"/>
          <w:b/>
          <w:bCs/>
          <w:sz w:val="24"/>
          <w:u w:val="single"/>
        </w:rPr>
        <w:t>Major Areas of Change</w:t>
      </w:r>
    </w:p>
    <w:p w14:paraId="7B50FBCF" w14:textId="77777777" w:rsidR="007E36DB" w:rsidRPr="00273978" w:rsidRDefault="007E36DB" w:rsidP="007E36DB">
      <w:pPr>
        <w:pStyle w:val="ListParagraph"/>
        <w:numPr>
          <w:ilvl w:val="0"/>
          <w:numId w:val="3"/>
        </w:numPr>
        <w:rPr>
          <w:rFonts w:ascii="Arial" w:hAnsi="Arial" w:cs="Arial"/>
          <w:b/>
          <w:bCs/>
          <w:sz w:val="20"/>
        </w:rPr>
      </w:pPr>
      <w:r w:rsidRPr="00273978">
        <w:rPr>
          <w:rFonts w:ascii="Arial" w:hAnsi="Arial" w:cs="Arial"/>
          <w:sz w:val="20"/>
        </w:rPr>
        <w:t>New and Revised Definitions</w:t>
      </w:r>
    </w:p>
    <w:p w14:paraId="6CD91ED2" w14:textId="6237F2BF" w:rsidR="007E36DB" w:rsidRPr="00273978" w:rsidRDefault="007E36DB" w:rsidP="007E36DB">
      <w:pPr>
        <w:pStyle w:val="ListParagraph"/>
        <w:numPr>
          <w:ilvl w:val="0"/>
          <w:numId w:val="3"/>
        </w:numPr>
        <w:rPr>
          <w:rFonts w:ascii="Arial" w:hAnsi="Arial" w:cs="Arial"/>
          <w:b/>
          <w:bCs/>
          <w:sz w:val="20"/>
        </w:rPr>
      </w:pPr>
      <w:r w:rsidRPr="00273978">
        <w:rPr>
          <w:rFonts w:ascii="Arial" w:hAnsi="Arial" w:cs="Arial"/>
          <w:sz w:val="20"/>
        </w:rPr>
        <w:t xml:space="preserve">New </w:t>
      </w:r>
      <w:r w:rsidR="007F19D4">
        <w:rPr>
          <w:rFonts w:ascii="Arial" w:hAnsi="Arial" w:cs="Arial"/>
          <w:sz w:val="20"/>
        </w:rPr>
        <w:t xml:space="preserve">and Revised </w:t>
      </w:r>
      <w:r w:rsidRPr="00273978">
        <w:rPr>
          <w:rFonts w:ascii="Arial" w:hAnsi="Arial" w:cs="Arial"/>
          <w:sz w:val="20"/>
        </w:rPr>
        <w:t xml:space="preserve">Exemption Categories </w:t>
      </w:r>
    </w:p>
    <w:p w14:paraId="60804A69" w14:textId="788C8261" w:rsidR="007E36DB" w:rsidRPr="00273978" w:rsidRDefault="007E36DB" w:rsidP="007E36DB">
      <w:pPr>
        <w:pStyle w:val="ListParagraph"/>
        <w:numPr>
          <w:ilvl w:val="0"/>
          <w:numId w:val="3"/>
        </w:numPr>
        <w:rPr>
          <w:rFonts w:ascii="Arial" w:hAnsi="Arial" w:cs="Arial"/>
          <w:b/>
          <w:bCs/>
          <w:sz w:val="20"/>
        </w:rPr>
      </w:pPr>
      <w:r w:rsidRPr="00273978">
        <w:rPr>
          <w:rFonts w:ascii="Arial" w:hAnsi="Arial" w:cs="Arial"/>
          <w:sz w:val="20"/>
        </w:rPr>
        <w:t>E</w:t>
      </w:r>
      <w:r w:rsidR="00725896">
        <w:rPr>
          <w:rFonts w:ascii="Arial" w:hAnsi="Arial" w:cs="Arial"/>
          <w:sz w:val="20"/>
        </w:rPr>
        <w:t xml:space="preserve">limination of Continuing Review (Expedited Classification) </w:t>
      </w:r>
    </w:p>
    <w:p w14:paraId="34B37C2E" w14:textId="77777777" w:rsidR="007E36DB" w:rsidRPr="00273978" w:rsidRDefault="007E36DB" w:rsidP="007E36DB">
      <w:pPr>
        <w:pStyle w:val="ListParagraph"/>
        <w:numPr>
          <w:ilvl w:val="0"/>
          <w:numId w:val="3"/>
        </w:numPr>
        <w:rPr>
          <w:rFonts w:ascii="Arial" w:hAnsi="Arial" w:cs="Arial"/>
          <w:b/>
          <w:bCs/>
          <w:sz w:val="20"/>
        </w:rPr>
      </w:pPr>
      <w:r w:rsidRPr="00273978">
        <w:rPr>
          <w:rFonts w:ascii="Arial" w:hAnsi="Arial" w:cs="Arial"/>
          <w:sz w:val="20"/>
        </w:rPr>
        <w:t xml:space="preserve">Revised Informed Consent Requirements </w:t>
      </w:r>
    </w:p>
    <w:p w14:paraId="46BDF79C" w14:textId="77777777" w:rsidR="007E36DB" w:rsidRPr="00273978" w:rsidRDefault="007E36DB" w:rsidP="007E36DB">
      <w:pPr>
        <w:pStyle w:val="ListParagraph"/>
        <w:numPr>
          <w:ilvl w:val="0"/>
          <w:numId w:val="3"/>
        </w:numPr>
        <w:rPr>
          <w:rFonts w:ascii="Arial" w:hAnsi="Arial" w:cs="Arial"/>
          <w:b/>
          <w:bCs/>
          <w:sz w:val="20"/>
        </w:rPr>
      </w:pPr>
      <w:r w:rsidRPr="00273978">
        <w:rPr>
          <w:rFonts w:ascii="Arial" w:hAnsi="Arial" w:cs="Arial"/>
          <w:sz w:val="20"/>
        </w:rPr>
        <w:t xml:space="preserve">Guidance on Application to Clinical Data Registries </w:t>
      </w:r>
    </w:p>
    <w:p w14:paraId="00D0FEE2" w14:textId="34933189" w:rsidR="007E36DB" w:rsidRPr="00273978" w:rsidRDefault="001745CB" w:rsidP="007E36DB">
      <w:pPr>
        <w:pStyle w:val="ListParagraph"/>
        <w:numPr>
          <w:ilvl w:val="0"/>
          <w:numId w:val="3"/>
        </w:numPr>
        <w:rPr>
          <w:rFonts w:ascii="Arial" w:hAnsi="Arial" w:cs="Arial"/>
          <w:b/>
          <w:bCs/>
          <w:sz w:val="20"/>
        </w:rPr>
      </w:pPr>
      <w:r w:rsidRPr="00273978">
        <w:rPr>
          <w:rFonts w:ascii="Arial" w:hAnsi="Arial" w:cs="Arial"/>
          <w:sz w:val="20"/>
        </w:rPr>
        <w:t xml:space="preserve">Single IRB - </w:t>
      </w:r>
      <w:r w:rsidR="007E36DB" w:rsidRPr="00273978">
        <w:rPr>
          <w:rFonts w:ascii="Arial" w:hAnsi="Arial" w:cs="Arial"/>
          <w:sz w:val="20"/>
        </w:rPr>
        <w:t xml:space="preserve">Cooperative Research Studies </w:t>
      </w:r>
    </w:p>
    <w:p w14:paraId="6CCEC418" w14:textId="77777777" w:rsidR="00184636" w:rsidRDefault="000454C5" w:rsidP="00184636">
      <w:pPr>
        <w:rPr>
          <w:rFonts w:ascii="Arial" w:hAnsi="Arial" w:cs="Arial"/>
          <w:b/>
          <w:bCs/>
        </w:rPr>
      </w:pPr>
      <w:r>
        <w:rPr>
          <w:rFonts w:ascii="Arial" w:hAnsi="Arial" w:cs="Arial"/>
          <w:b/>
          <w:bCs/>
        </w:rPr>
        <w:t xml:space="preserve">Important </w:t>
      </w:r>
      <w:r w:rsidR="00184636" w:rsidRPr="007F19D4">
        <w:rPr>
          <w:rFonts w:ascii="Arial" w:hAnsi="Arial" w:cs="Arial"/>
          <w:b/>
          <w:bCs/>
        </w:rPr>
        <w:t>Definitions</w:t>
      </w:r>
    </w:p>
    <w:p w14:paraId="5345BC10" w14:textId="72C6B73F" w:rsidR="00184636" w:rsidRPr="00B10955" w:rsidRDefault="00184636" w:rsidP="00184636">
      <w:pPr>
        <w:pStyle w:val="ListParagraph"/>
        <w:numPr>
          <w:ilvl w:val="0"/>
          <w:numId w:val="10"/>
        </w:numPr>
        <w:rPr>
          <w:rFonts w:ascii="Arial" w:hAnsi="Arial" w:cs="Arial"/>
          <w:bCs/>
          <w:sz w:val="20"/>
        </w:rPr>
      </w:pPr>
      <w:r w:rsidRPr="00035CF9">
        <w:rPr>
          <w:rFonts w:ascii="Arial" w:hAnsi="Arial" w:cs="Arial"/>
          <w:bCs/>
          <w:sz w:val="20"/>
          <w:u w:val="single"/>
        </w:rPr>
        <w:t>Humans Subjects</w:t>
      </w:r>
      <w:r w:rsidRPr="00B10955">
        <w:rPr>
          <w:rFonts w:ascii="Arial" w:hAnsi="Arial" w:cs="Arial"/>
          <w:bCs/>
          <w:sz w:val="20"/>
        </w:rPr>
        <w:t xml:space="preserve"> means a living individual about whom an investigator (professional or student) conducting </w:t>
      </w:r>
      <w:r w:rsidR="000454C5" w:rsidRPr="00B10955">
        <w:rPr>
          <w:rFonts w:ascii="Arial" w:hAnsi="Arial" w:cs="Arial"/>
          <w:bCs/>
          <w:sz w:val="20"/>
        </w:rPr>
        <w:t>research</w:t>
      </w:r>
      <w:r w:rsidRPr="00B10955">
        <w:rPr>
          <w:rFonts w:ascii="Arial" w:hAnsi="Arial" w:cs="Arial"/>
          <w:bCs/>
          <w:sz w:val="20"/>
        </w:rPr>
        <w:t>:</w:t>
      </w:r>
    </w:p>
    <w:p w14:paraId="354C940B" w14:textId="368E0A86" w:rsidR="00184636" w:rsidRPr="00B10955" w:rsidRDefault="00184636" w:rsidP="00184636">
      <w:pPr>
        <w:pStyle w:val="ListParagraph"/>
        <w:numPr>
          <w:ilvl w:val="1"/>
          <w:numId w:val="10"/>
        </w:numPr>
        <w:rPr>
          <w:rFonts w:ascii="Arial" w:hAnsi="Arial" w:cs="Arial"/>
          <w:bCs/>
          <w:sz w:val="20"/>
        </w:rPr>
      </w:pPr>
      <w:r w:rsidRPr="00B10955">
        <w:rPr>
          <w:rFonts w:ascii="Arial" w:hAnsi="Arial" w:cs="Arial"/>
          <w:bCs/>
          <w:sz w:val="20"/>
        </w:rPr>
        <w:t xml:space="preserve">Obtains </w:t>
      </w:r>
      <w:r w:rsidRPr="00B10955">
        <w:rPr>
          <w:rFonts w:ascii="Arial" w:hAnsi="Arial" w:cs="Arial"/>
          <w:b/>
          <w:bCs/>
          <w:sz w:val="20"/>
        </w:rPr>
        <w:t>information or biospecimens</w:t>
      </w:r>
      <w:r w:rsidRPr="00B10955">
        <w:rPr>
          <w:rFonts w:ascii="Arial" w:hAnsi="Arial" w:cs="Arial"/>
          <w:bCs/>
          <w:sz w:val="20"/>
        </w:rPr>
        <w:t xml:space="preserve"> though intervention or interaction with the individual, and </w:t>
      </w:r>
      <w:r w:rsidRPr="00B10955">
        <w:rPr>
          <w:rFonts w:ascii="Arial" w:hAnsi="Arial" w:cs="Arial"/>
          <w:b/>
          <w:bCs/>
          <w:sz w:val="20"/>
        </w:rPr>
        <w:t>uses</w:t>
      </w:r>
      <w:r w:rsidR="00932889">
        <w:rPr>
          <w:rFonts w:ascii="Arial" w:hAnsi="Arial" w:cs="Arial"/>
          <w:b/>
          <w:bCs/>
          <w:sz w:val="20"/>
        </w:rPr>
        <w:t xml:space="preserve"> studies or analyzes</w:t>
      </w:r>
      <w:r w:rsidRPr="00B10955">
        <w:rPr>
          <w:rFonts w:ascii="Arial" w:hAnsi="Arial" w:cs="Arial"/>
          <w:b/>
          <w:bCs/>
          <w:sz w:val="20"/>
        </w:rPr>
        <w:t xml:space="preserve"> the information or biospecimens</w:t>
      </w:r>
      <w:r w:rsidRPr="00B10955">
        <w:rPr>
          <w:rFonts w:ascii="Arial" w:hAnsi="Arial" w:cs="Arial"/>
          <w:bCs/>
          <w:sz w:val="20"/>
        </w:rPr>
        <w:t xml:space="preserve"> OR</w:t>
      </w:r>
    </w:p>
    <w:p w14:paraId="55D848DB" w14:textId="67253E22" w:rsidR="00184636" w:rsidRPr="00EF1A89" w:rsidRDefault="00184636" w:rsidP="00184636">
      <w:pPr>
        <w:pStyle w:val="ListParagraph"/>
        <w:numPr>
          <w:ilvl w:val="1"/>
          <w:numId w:val="10"/>
        </w:numPr>
        <w:rPr>
          <w:rFonts w:ascii="Arial" w:hAnsi="Arial" w:cs="Arial"/>
          <w:bCs/>
          <w:sz w:val="20"/>
        </w:rPr>
      </w:pPr>
      <w:r w:rsidRPr="00B10955">
        <w:rPr>
          <w:rFonts w:ascii="Arial" w:hAnsi="Arial" w:cs="Arial"/>
          <w:bCs/>
          <w:sz w:val="20"/>
        </w:rPr>
        <w:t xml:space="preserve">Obtains, </w:t>
      </w:r>
      <w:r w:rsidRPr="00B10955">
        <w:rPr>
          <w:rFonts w:ascii="Arial" w:hAnsi="Arial" w:cs="Arial"/>
          <w:b/>
          <w:bCs/>
          <w:sz w:val="20"/>
        </w:rPr>
        <w:t>uses, studies, analyzes or generates</w:t>
      </w:r>
      <w:r w:rsidRPr="00B10955">
        <w:rPr>
          <w:rFonts w:ascii="Arial" w:hAnsi="Arial" w:cs="Arial"/>
          <w:bCs/>
          <w:sz w:val="20"/>
        </w:rPr>
        <w:t xml:space="preserve"> identifiable private information </w:t>
      </w:r>
      <w:r w:rsidRPr="00B10955">
        <w:rPr>
          <w:rFonts w:ascii="Arial" w:hAnsi="Arial" w:cs="Arial"/>
          <w:b/>
          <w:bCs/>
          <w:sz w:val="20"/>
        </w:rPr>
        <w:t>or identifiable biospecimens</w:t>
      </w:r>
    </w:p>
    <w:p w14:paraId="1ACD7C50" w14:textId="06ACB536" w:rsidR="005B061B" w:rsidRDefault="001209F3" w:rsidP="00EF1A89">
      <w:pPr>
        <w:pStyle w:val="ListParagraph"/>
        <w:numPr>
          <w:ilvl w:val="0"/>
          <w:numId w:val="10"/>
        </w:numPr>
        <w:rPr>
          <w:rFonts w:ascii="Arial" w:hAnsi="Arial" w:cs="Arial"/>
          <w:bCs/>
          <w:sz w:val="20"/>
        </w:rPr>
      </w:pPr>
      <w:r>
        <w:rPr>
          <w:rFonts w:ascii="Arial" w:hAnsi="Arial" w:cs="Arial"/>
          <w:bCs/>
          <w:sz w:val="20"/>
        </w:rPr>
        <w:t>Activities</w:t>
      </w:r>
      <w:r w:rsidRPr="00EF1A89">
        <w:rPr>
          <w:rFonts w:ascii="Arial" w:hAnsi="Arial" w:cs="Arial"/>
          <w:bCs/>
          <w:sz w:val="20"/>
        </w:rPr>
        <w:t xml:space="preserve"> </w:t>
      </w:r>
      <w:r w:rsidR="00EF1A89" w:rsidRPr="00EF1A89">
        <w:rPr>
          <w:rFonts w:ascii="Arial" w:hAnsi="Arial" w:cs="Arial"/>
          <w:bCs/>
          <w:sz w:val="20"/>
        </w:rPr>
        <w:t xml:space="preserve">deemed </w:t>
      </w:r>
      <w:r w:rsidR="00EF1A89" w:rsidRPr="0027219F">
        <w:rPr>
          <w:rFonts w:ascii="Arial" w:hAnsi="Arial" w:cs="Arial"/>
          <w:b/>
          <w:bCs/>
          <w:sz w:val="20"/>
        </w:rPr>
        <w:t>not to be research</w:t>
      </w:r>
      <w:r w:rsidR="00EF1A89">
        <w:rPr>
          <w:rFonts w:ascii="Arial" w:hAnsi="Arial" w:cs="Arial"/>
          <w:bCs/>
          <w:sz w:val="20"/>
        </w:rPr>
        <w:t xml:space="preserve"> include the following four activates</w:t>
      </w:r>
    </w:p>
    <w:p w14:paraId="4DDABEE4" w14:textId="06332E2B" w:rsidR="00EF1A89" w:rsidRPr="00EF1A89" w:rsidRDefault="00EF1A89" w:rsidP="00EF1A89">
      <w:pPr>
        <w:pStyle w:val="ListParagraph"/>
        <w:numPr>
          <w:ilvl w:val="1"/>
          <w:numId w:val="10"/>
        </w:numPr>
        <w:rPr>
          <w:rFonts w:ascii="Arial" w:hAnsi="Arial" w:cs="Arial"/>
          <w:bCs/>
          <w:sz w:val="20"/>
        </w:rPr>
      </w:pPr>
      <w:r w:rsidRPr="00EF1A89">
        <w:rPr>
          <w:rFonts w:ascii="Arial" w:hAnsi="Arial" w:cs="Arial"/>
          <w:bCs/>
          <w:sz w:val="20"/>
        </w:rPr>
        <w:t>Scholarly and journalistic activities (e.g. oral history, journalism, biography, literary criticism, legal research, and historical scholarship)</w:t>
      </w:r>
      <w:r w:rsidR="0066463A">
        <w:rPr>
          <w:rFonts w:ascii="Arial" w:hAnsi="Arial" w:cs="Arial"/>
          <w:bCs/>
          <w:sz w:val="20"/>
        </w:rPr>
        <w:t xml:space="preserve"> </w:t>
      </w:r>
      <w:r w:rsidR="0066463A" w:rsidRPr="0066463A">
        <w:rPr>
          <w:rFonts w:ascii="Arial" w:hAnsi="Arial" w:cs="Arial"/>
          <w:color w:val="000000"/>
          <w:sz w:val="20"/>
          <w:szCs w:val="20"/>
          <w:shd w:val="clear" w:color="auto" w:fill="FFFFFF"/>
        </w:rPr>
        <w:t>including the collection and use of information, that focus directly on the specific individuals about whom the information is collected.</w:t>
      </w:r>
    </w:p>
    <w:p w14:paraId="5BDA15FB" w14:textId="77777777" w:rsidR="00EF1A89" w:rsidRPr="00EF1A89" w:rsidRDefault="00EF1A89" w:rsidP="00EF1A89">
      <w:pPr>
        <w:pStyle w:val="ListParagraph"/>
        <w:numPr>
          <w:ilvl w:val="1"/>
          <w:numId w:val="10"/>
        </w:numPr>
        <w:rPr>
          <w:rFonts w:ascii="Arial" w:hAnsi="Arial" w:cs="Arial"/>
          <w:bCs/>
          <w:sz w:val="20"/>
        </w:rPr>
      </w:pPr>
      <w:r w:rsidRPr="00EF1A89">
        <w:rPr>
          <w:rFonts w:ascii="Arial" w:hAnsi="Arial" w:cs="Arial"/>
          <w:bCs/>
          <w:sz w:val="20"/>
        </w:rPr>
        <w:t>Public health surveillance activities</w:t>
      </w:r>
    </w:p>
    <w:p w14:paraId="588A2043" w14:textId="77777777" w:rsidR="00EF1A89" w:rsidRPr="00EF1A89" w:rsidRDefault="00EF1A89" w:rsidP="00EF1A89">
      <w:pPr>
        <w:pStyle w:val="ListParagraph"/>
        <w:numPr>
          <w:ilvl w:val="1"/>
          <w:numId w:val="10"/>
        </w:numPr>
        <w:rPr>
          <w:rFonts w:ascii="Arial" w:hAnsi="Arial" w:cs="Arial"/>
          <w:bCs/>
          <w:sz w:val="20"/>
        </w:rPr>
      </w:pPr>
      <w:r w:rsidRPr="00EF1A89">
        <w:rPr>
          <w:rFonts w:ascii="Arial" w:hAnsi="Arial" w:cs="Arial"/>
          <w:bCs/>
          <w:sz w:val="20"/>
        </w:rPr>
        <w:t>Collection and analysis of information, biospecimens, or records for criminal justice or criminal investigative purposes; and</w:t>
      </w:r>
    </w:p>
    <w:p w14:paraId="296D2E24" w14:textId="627E25A3" w:rsidR="00EF1A89" w:rsidRPr="00EF1A89" w:rsidRDefault="00EF1A89" w:rsidP="00EF1A89">
      <w:pPr>
        <w:pStyle w:val="ListParagraph"/>
        <w:numPr>
          <w:ilvl w:val="1"/>
          <w:numId w:val="10"/>
        </w:numPr>
        <w:rPr>
          <w:rFonts w:ascii="Arial" w:hAnsi="Arial" w:cs="Arial"/>
          <w:bCs/>
          <w:sz w:val="20"/>
        </w:rPr>
      </w:pPr>
      <w:r w:rsidRPr="00EF1A89">
        <w:rPr>
          <w:rFonts w:ascii="Arial" w:hAnsi="Arial" w:cs="Arial"/>
          <w:bCs/>
          <w:sz w:val="20"/>
        </w:rPr>
        <w:t>Certain activities in support of intelligence, homeland, security, defense, or other national security missions</w:t>
      </w:r>
    </w:p>
    <w:p w14:paraId="656FD1BF" w14:textId="77777777" w:rsidR="00184636" w:rsidRPr="00B10955" w:rsidRDefault="00184636" w:rsidP="00184636">
      <w:pPr>
        <w:pStyle w:val="ListParagraph"/>
        <w:numPr>
          <w:ilvl w:val="0"/>
          <w:numId w:val="10"/>
        </w:numPr>
        <w:rPr>
          <w:rFonts w:ascii="Arial" w:hAnsi="Arial" w:cs="Arial"/>
          <w:bCs/>
          <w:sz w:val="20"/>
        </w:rPr>
      </w:pPr>
      <w:r w:rsidRPr="00035CF9">
        <w:rPr>
          <w:rFonts w:ascii="Arial" w:hAnsi="Arial" w:cs="Arial"/>
          <w:bCs/>
          <w:sz w:val="20"/>
          <w:u w:val="single"/>
        </w:rPr>
        <w:t>Intervention</w:t>
      </w:r>
      <w:r w:rsidRPr="00B10955">
        <w:rPr>
          <w:rFonts w:ascii="Arial" w:hAnsi="Arial" w:cs="Arial"/>
          <w:bCs/>
          <w:sz w:val="20"/>
        </w:rPr>
        <w:t xml:space="preserve"> includes both physical procedures by which </w:t>
      </w:r>
      <w:r w:rsidRPr="00B10955">
        <w:rPr>
          <w:rFonts w:ascii="Arial" w:hAnsi="Arial" w:cs="Arial"/>
          <w:b/>
          <w:bCs/>
          <w:sz w:val="20"/>
        </w:rPr>
        <w:t>information or biospecimens</w:t>
      </w:r>
      <w:r w:rsidRPr="00B10955">
        <w:rPr>
          <w:rFonts w:ascii="Arial" w:hAnsi="Arial" w:cs="Arial"/>
          <w:bCs/>
          <w:sz w:val="20"/>
        </w:rPr>
        <w:t xml:space="preserve"> are gathered (e.g., venipuncture) and manipulations of the subject or the subject’s environment that are performed for research purposes.</w:t>
      </w:r>
    </w:p>
    <w:p w14:paraId="0DCE8493" w14:textId="77777777" w:rsidR="000454C5" w:rsidRDefault="000454C5" w:rsidP="00184636">
      <w:pPr>
        <w:pStyle w:val="ListParagraph"/>
        <w:numPr>
          <w:ilvl w:val="0"/>
          <w:numId w:val="10"/>
        </w:numPr>
        <w:rPr>
          <w:rFonts w:ascii="Arial" w:hAnsi="Arial" w:cs="Arial"/>
          <w:bCs/>
          <w:sz w:val="20"/>
        </w:rPr>
      </w:pPr>
      <w:r w:rsidRPr="00035CF9">
        <w:rPr>
          <w:rFonts w:ascii="Arial" w:hAnsi="Arial" w:cs="Arial"/>
          <w:bCs/>
          <w:sz w:val="20"/>
          <w:u w:val="single"/>
        </w:rPr>
        <w:t xml:space="preserve">Interaction </w:t>
      </w:r>
      <w:r w:rsidRPr="00B10955">
        <w:rPr>
          <w:rFonts w:ascii="Arial" w:hAnsi="Arial" w:cs="Arial"/>
          <w:bCs/>
          <w:sz w:val="20"/>
        </w:rPr>
        <w:t>includes communication or interpersonal contact between investigator and subject</w:t>
      </w:r>
    </w:p>
    <w:p w14:paraId="46C0BC5D" w14:textId="77777777" w:rsidR="00DC571B" w:rsidRPr="00B10955" w:rsidRDefault="00035CF9" w:rsidP="00184636">
      <w:pPr>
        <w:pStyle w:val="ListParagraph"/>
        <w:numPr>
          <w:ilvl w:val="0"/>
          <w:numId w:val="10"/>
        </w:numPr>
        <w:rPr>
          <w:rFonts w:ascii="Arial" w:hAnsi="Arial" w:cs="Arial"/>
          <w:bCs/>
          <w:sz w:val="20"/>
        </w:rPr>
      </w:pPr>
      <w:r w:rsidRPr="00035CF9">
        <w:rPr>
          <w:rFonts w:ascii="Arial" w:hAnsi="Arial" w:cs="Arial"/>
          <w:bCs/>
          <w:sz w:val="20"/>
          <w:u w:val="single"/>
        </w:rPr>
        <w:t>Clinical Trial</w:t>
      </w:r>
      <w:r w:rsidRPr="00035CF9">
        <w:rPr>
          <w:rFonts w:ascii="Arial" w:hAnsi="Arial" w:cs="Arial"/>
          <w:bCs/>
          <w:sz w:val="20"/>
        </w:rPr>
        <w:t xml:space="preserve"> - The final rule added the definition of “clinical trial,” which was not defined in the previous version of the Common Rule. A clinical trial is “a research study in which one or more human subjects are prospectively assigned to one or more interventions (which may include placebo or other control) to evaluate the effects of the interventions on biomedical or behavioral health-related outcomes.”</w:t>
      </w:r>
    </w:p>
    <w:p w14:paraId="6B072821" w14:textId="77777777" w:rsidR="000454C5" w:rsidRPr="00B10955" w:rsidRDefault="000454C5" w:rsidP="00184636">
      <w:pPr>
        <w:pStyle w:val="ListParagraph"/>
        <w:numPr>
          <w:ilvl w:val="0"/>
          <w:numId w:val="10"/>
        </w:numPr>
        <w:rPr>
          <w:rFonts w:ascii="Arial" w:hAnsi="Arial" w:cs="Arial"/>
          <w:bCs/>
          <w:sz w:val="20"/>
        </w:rPr>
      </w:pPr>
      <w:r w:rsidRPr="00035CF9">
        <w:rPr>
          <w:rFonts w:ascii="Arial" w:hAnsi="Arial" w:cs="Arial"/>
          <w:bCs/>
          <w:sz w:val="20"/>
          <w:u w:val="single"/>
        </w:rPr>
        <w:t>Private information</w:t>
      </w:r>
      <w:r w:rsidRPr="00B10955">
        <w:rPr>
          <w:rFonts w:ascii="Arial" w:hAnsi="Arial" w:cs="Arial"/>
          <w:bCs/>
          <w:sz w:val="20"/>
        </w:rPr>
        <w:t xml:space="preserve"> includes information about behavior that occurs in a context in which an individual can reasonably expect that no observation or recording is taking place, and information </w:t>
      </w:r>
      <w:r w:rsidRPr="00B10955">
        <w:rPr>
          <w:rFonts w:ascii="Arial" w:hAnsi="Arial" w:cs="Arial"/>
          <w:b/>
          <w:bCs/>
          <w:sz w:val="20"/>
        </w:rPr>
        <w:t>that</w:t>
      </w:r>
      <w:r w:rsidRPr="00B10955">
        <w:rPr>
          <w:rFonts w:ascii="Arial" w:hAnsi="Arial" w:cs="Arial"/>
          <w:bCs/>
          <w:sz w:val="20"/>
        </w:rPr>
        <w:t xml:space="preserve"> has been provided for specific purposes by an individual and </w:t>
      </w:r>
      <w:r w:rsidRPr="00B10955">
        <w:rPr>
          <w:rFonts w:ascii="Arial" w:hAnsi="Arial" w:cs="Arial"/>
          <w:b/>
          <w:bCs/>
          <w:sz w:val="20"/>
        </w:rPr>
        <w:t>that</w:t>
      </w:r>
      <w:r w:rsidRPr="00B10955">
        <w:rPr>
          <w:rFonts w:ascii="Arial" w:hAnsi="Arial" w:cs="Arial"/>
          <w:bCs/>
          <w:sz w:val="20"/>
        </w:rPr>
        <w:t xml:space="preserve"> the individual can reasonably expect will not be made public (e.g., a medical record).</w:t>
      </w:r>
    </w:p>
    <w:p w14:paraId="41ABD291" w14:textId="61D15774" w:rsidR="000454C5" w:rsidRPr="00273978" w:rsidRDefault="000454C5" w:rsidP="00EF1A89">
      <w:pPr>
        <w:pStyle w:val="ListParagraph"/>
        <w:numPr>
          <w:ilvl w:val="0"/>
          <w:numId w:val="10"/>
        </w:numPr>
        <w:rPr>
          <w:rFonts w:ascii="Arial" w:hAnsi="Arial" w:cs="Arial"/>
          <w:b/>
          <w:bCs/>
          <w:sz w:val="20"/>
        </w:rPr>
      </w:pPr>
      <w:r w:rsidRPr="00DB7132">
        <w:rPr>
          <w:rFonts w:ascii="Arial" w:hAnsi="Arial" w:cs="Arial"/>
          <w:bCs/>
          <w:sz w:val="20"/>
          <w:u w:val="single"/>
        </w:rPr>
        <w:t>Identifiable private information</w:t>
      </w:r>
      <w:r w:rsidRPr="00B10955">
        <w:rPr>
          <w:rFonts w:ascii="Arial" w:hAnsi="Arial" w:cs="Arial"/>
          <w:bCs/>
          <w:sz w:val="20"/>
        </w:rPr>
        <w:t xml:space="preserve"> is private information for which the identity of the subject is or may readily be ascertained by the investigator or associated with the information </w:t>
      </w:r>
    </w:p>
    <w:p w14:paraId="63FDD855" w14:textId="77777777" w:rsidR="007E36DB" w:rsidRPr="000454C5" w:rsidRDefault="00A36FED" w:rsidP="000454C5">
      <w:pPr>
        <w:rPr>
          <w:rFonts w:ascii="Arial" w:hAnsi="Arial" w:cs="Arial"/>
          <w:b/>
          <w:bCs/>
        </w:rPr>
      </w:pPr>
      <w:hyperlink r:id="rId8" w:tgtFrame="_blank" w:history="1">
        <w:r w:rsidR="007E36DB" w:rsidRPr="000454C5">
          <w:rPr>
            <w:rStyle w:val="Hyperlink"/>
            <w:rFonts w:ascii="Arial" w:hAnsi="Arial" w:cs="Arial"/>
            <w:b/>
            <w:bCs/>
            <w:color w:val="auto"/>
            <w:u w:val="none"/>
          </w:rPr>
          <w:t>Exempt Studies</w:t>
        </w:r>
      </w:hyperlink>
    </w:p>
    <w:p w14:paraId="1C612679" w14:textId="2AB08893" w:rsidR="007E36DB" w:rsidRDefault="007E36DB" w:rsidP="007E36DB">
      <w:pPr>
        <w:rPr>
          <w:rFonts w:ascii="Arial" w:hAnsi="Arial" w:cs="Arial"/>
          <w:sz w:val="20"/>
        </w:rPr>
      </w:pPr>
      <w:r w:rsidRPr="00273978">
        <w:rPr>
          <w:rFonts w:ascii="Arial" w:hAnsi="Arial" w:cs="Arial"/>
          <w:sz w:val="20"/>
        </w:rPr>
        <w:t xml:space="preserve">New categories for exemption have been created and some of the </w:t>
      </w:r>
      <w:r w:rsidR="00FC406F" w:rsidRPr="00273978">
        <w:rPr>
          <w:rFonts w:ascii="Arial" w:hAnsi="Arial" w:cs="Arial"/>
          <w:sz w:val="20"/>
        </w:rPr>
        <w:t>existing</w:t>
      </w:r>
      <w:r w:rsidRPr="00273978">
        <w:rPr>
          <w:rFonts w:ascii="Arial" w:hAnsi="Arial" w:cs="Arial"/>
          <w:sz w:val="20"/>
        </w:rPr>
        <w:t xml:space="preserve"> categories have been modified or clarified. </w:t>
      </w:r>
      <w:r w:rsidR="00DB7132">
        <w:rPr>
          <w:rFonts w:ascii="Arial" w:hAnsi="Arial" w:cs="Arial"/>
          <w:sz w:val="20"/>
        </w:rPr>
        <w:t xml:space="preserve">You </w:t>
      </w:r>
      <w:r w:rsidR="001209F3">
        <w:rPr>
          <w:rFonts w:ascii="Arial" w:hAnsi="Arial" w:cs="Arial"/>
          <w:sz w:val="20"/>
        </w:rPr>
        <w:t xml:space="preserve">can </w:t>
      </w:r>
      <w:r w:rsidR="00DB7132">
        <w:rPr>
          <w:rFonts w:ascii="Arial" w:hAnsi="Arial" w:cs="Arial"/>
          <w:sz w:val="20"/>
        </w:rPr>
        <w:t xml:space="preserve">find the full list of the exempt categories at the </w:t>
      </w:r>
      <w:hyperlink r:id="rId9" w:history="1">
        <w:r w:rsidR="00DB7132" w:rsidRPr="00DB7132">
          <w:rPr>
            <w:rStyle w:val="Hyperlink"/>
            <w:rFonts w:ascii="Arial" w:hAnsi="Arial" w:cs="Arial"/>
            <w:sz w:val="20"/>
          </w:rPr>
          <w:t>Office for Human Research Protection</w:t>
        </w:r>
      </w:hyperlink>
      <w:r w:rsidR="00DB7132">
        <w:rPr>
          <w:rFonts w:ascii="Arial" w:hAnsi="Arial" w:cs="Arial"/>
          <w:sz w:val="20"/>
        </w:rPr>
        <w:t xml:space="preserve">. </w:t>
      </w:r>
    </w:p>
    <w:p w14:paraId="6636322A" w14:textId="7B94B507" w:rsidR="00273978" w:rsidRPr="00273978" w:rsidRDefault="00DB7132" w:rsidP="002241C9">
      <w:pPr>
        <w:rPr>
          <w:rFonts w:ascii="Arial" w:hAnsi="Arial" w:cs="Arial"/>
          <w:bCs/>
          <w:sz w:val="20"/>
        </w:rPr>
      </w:pPr>
      <w:r>
        <w:rPr>
          <w:rFonts w:ascii="Arial" w:hAnsi="Arial" w:cs="Arial"/>
          <w:sz w:val="20"/>
        </w:rPr>
        <w:t>As a reminder exempt classification is still a category of review. Even if you believe you protocol submission fal</w:t>
      </w:r>
      <w:r w:rsidR="0027219F">
        <w:rPr>
          <w:rFonts w:ascii="Arial" w:hAnsi="Arial" w:cs="Arial"/>
          <w:sz w:val="20"/>
        </w:rPr>
        <w:t xml:space="preserve">ls </w:t>
      </w:r>
      <w:r>
        <w:rPr>
          <w:rFonts w:ascii="Arial" w:hAnsi="Arial" w:cs="Arial"/>
          <w:sz w:val="20"/>
        </w:rPr>
        <w:t xml:space="preserve">into this category you must submit to the IRB for review. The University of Memphis </w:t>
      </w:r>
      <w:hyperlink r:id="rId10" w:history="1">
        <w:r w:rsidRPr="00DB7132">
          <w:rPr>
            <w:rStyle w:val="Hyperlink"/>
            <w:rFonts w:ascii="Arial" w:hAnsi="Arial" w:cs="Arial"/>
            <w:sz w:val="20"/>
          </w:rPr>
          <w:t>Human Subject</w:t>
        </w:r>
        <w:r w:rsidR="001209F3">
          <w:rPr>
            <w:rStyle w:val="Hyperlink"/>
            <w:rFonts w:ascii="Arial" w:hAnsi="Arial" w:cs="Arial"/>
            <w:sz w:val="20"/>
          </w:rPr>
          <w:t>s</w:t>
        </w:r>
        <w:r w:rsidRPr="00DB7132">
          <w:rPr>
            <w:rStyle w:val="Hyperlink"/>
            <w:rFonts w:ascii="Arial" w:hAnsi="Arial" w:cs="Arial"/>
            <w:sz w:val="20"/>
          </w:rPr>
          <w:t xml:space="preserve"> Protection Policy</w:t>
        </w:r>
      </w:hyperlink>
      <w:r>
        <w:rPr>
          <w:rFonts w:ascii="Arial" w:hAnsi="Arial" w:cs="Arial"/>
          <w:sz w:val="20"/>
        </w:rPr>
        <w:t xml:space="preserve"> states </w:t>
      </w:r>
      <w:r w:rsidR="001209F3">
        <w:rPr>
          <w:rFonts w:ascii="Arial" w:hAnsi="Arial" w:cs="Arial"/>
          <w:sz w:val="20"/>
        </w:rPr>
        <w:t xml:space="preserve">that </w:t>
      </w:r>
      <w:r>
        <w:rPr>
          <w:rFonts w:ascii="Arial" w:hAnsi="Arial" w:cs="Arial"/>
          <w:sz w:val="20"/>
        </w:rPr>
        <w:t xml:space="preserve">the IRB </w:t>
      </w:r>
      <w:r w:rsidR="001209F3">
        <w:rPr>
          <w:rFonts w:ascii="Arial" w:hAnsi="Arial" w:cs="Arial"/>
          <w:sz w:val="20"/>
        </w:rPr>
        <w:t xml:space="preserve">is to </w:t>
      </w:r>
      <w:r>
        <w:rPr>
          <w:rFonts w:ascii="Arial" w:hAnsi="Arial" w:cs="Arial"/>
          <w:sz w:val="20"/>
        </w:rPr>
        <w:t xml:space="preserve">review all research involving human subjects </w:t>
      </w:r>
    </w:p>
    <w:p w14:paraId="67DA5696" w14:textId="6E530ACA" w:rsidR="007E36DB" w:rsidRPr="00EF1A89" w:rsidRDefault="00A36FED" w:rsidP="007E36DB">
      <w:pPr>
        <w:rPr>
          <w:rFonts w:ascii="Arial" w:hAnsi="Arial" w:cs="Arial"/>
        </w:rPr>
      </w:pPr>
      <w:hyperlink r:id="rId11" w:tgtFrame="_blank" w:history="1">
        <w:r w:rsidR="007E36DB" w:rsidRPr="00C13635">
          <w:rPr>
            <w:rStyle w:val="Hyperlink"/>
            <w:rFonts w:ascii="Arial" w:hAnsi="Arial" w:cs="Arial"/>
            <w:b/>
            <w:bCs/>
            <w:color w:val="auto"/>
            <w:u w:val="none"/>
          </w:rPr>
          <w:t>Continuing Review (Renewal)</w:t>
        </w:r>
      </w:hyperlink>
    </w:p>
    <w:p w14:paraId="3E38A06B" w14:textId="7085DF73" w:rsidR="007E36DB" w:rsidRPr="00273978" w:rsidRDefault="00035CF9" w:rsidP="00273978">
      <w:pPr>
        <w:spacing w:line="240" w:lineRule="auto"/>
        <w:contextualSpacing/>
        <w:rPr>
          <w:rFonts w:ascii="Arial" w:hAnsi="Arial" w:cs="Arial"/>
          <w:sz w:val="20"/>
          <w:szCs w:val="20"/>
        </w:rPr>
      </w:pPr>
      <w:r w:rsidRPr="00273978">
        <w:rPr>
          <w:rFonts w:ascii="Arial" w:hAnsi="Arial" w:cs="Arial"/>
          <w:sz w:val="20"/>
          <w:szCs w:val="20"/>
        </w:rPr>
        <w:t>Unless the IRB determines otherwise</w:t>
      </w:r>
      <w:r w:rsidR="001209F3">
        <w:rPr>
          <w:rFonts w:ascii="Arial" w:hAnsi="Arial" w:cs="Arial"/>
          <w:sz w:val="20"/>
          <w:szCs w:val="20"/>
        </w:rPr>
        <w:t>,</w:t>
      </w:r>
      <w:r w:rsidRPr="00273978">
        <w:rPr>
          <w:rFonts w:ascii="Arial" w:hAnsi="Arial" w:cs="Arial"/>
          <w:sz w:val="20"/>
          <w:szCs w:val="20"/>
        </w:rPr>
        <w:t xml:space="preserve"> c</w:t>
      </w:r>
      <w:r w:rsidR="007E36DB" w:rsidRPr="00273978">
        <w:rPr>
          <w:rFonts w:ascii="Arial" w:hAnsi="Arial" w:cs="Arial"/>
          <w:sz w:val="20"/>
          <w:szCs w:val="20"/>
        </w:rPr>
        <w:t xml:space="preserve">ontinuing </w:t>
      </w:r>
      <w:r w:rsidRPr="00273978">
        <w:rPr>
          <w:rFonts w:ascii="Arial" w:hAnsi="Arial" w:cs="Arial"/>
          <w:sz w:val="20"/>
          <w:szCs w:val="20"/>
        </w:rPr>
        <w:t>r</w:t>
      </w:r>
      <w:r w:rsidR="007E36DB" w:rsidRPr="00273978">
        <w:rPr>
          <w:rFonts w:ascii="Arial" w:hAnsi="Arial" w:cs="Arial"/>
          <w:sz w:val="20"/>
          <w:szCs w:val="20"/>
        </w:rPr>
        <w:t xml:space="preserve">eview </w:t>
      </w:r>
      <w:r w:rsidRPr="00273978">
        <w:rPr>
          <w:rFonts w:ascii="Arial" w:hAnsi="Arial" w:cs="Arial"/>
          <w:sz w:val="20"/>
          <w:szCs w:val="20"/>
        </w:rPr>
        <w:t>will</w:t>
      </w:r>
      <w:r w:rsidR="007E36DB" w:rsidRPr="00273978">
        <w:rPr>
          <w:rFonts w:ascii="Arial" w:hAnsi="Arial" w:cs="Arial"/>
          <w:sz w:val="20"/>
          <w:szCs w:val="20"/>
        </w:rPr>
        <w:t xml:space="preserve"> not be required in the following circumstances:</w:t>
      </w:r>
    </w:p>
    <w:p w14:paraId="3856017E" w14:textId="2838224A" w:rsidR="00EF1A89" w:rsidRPr="00273978" w:rsidRDefault="00EF1A89" w:rsidP="00273978">
      <w:pPr>
        <w:numPr>
          <w:ilvl w:val="0"/>
          <w:numId w:val="2"/>
        </w:numPr>
        <w:spacing w:line="240" w:lineRule="auto"/>
        <w:contextualSpacing/>
        <w:rPr>
          <w:rFonts w:ascii="Arial" w:hAnsi="Arial" w:cs="Arial"/>
          <w:sz w:val="20"/>
          <w:szCs w:val="20"/>
        </w:rPr>
      </w:pPr>
      <w:r w:rsidRPr="00273978">
        <w:rPr>
          <w:rFonts w:ascii="Arial" w:hAnsi="Arial" w:cs="Arial"/>
          <w:sz w:val="20"/>
          <w:szCs w:val="20"/>
        </w:rPr>
        <w:t>Studies approved th</w:t>
      </w:r>
      <w:r w:rsidR="00932889">
        <w:rPr>
          <w:rFonts w:ascii="Arial" w:hAnsi="Arial" w:cs="Arial"/>
          <w:sz w:val="20"/>
          <w:szCs w:val="20"/>
        </w:rPr>
        <w:t>r</w:t>
      </w:r>
      <w:r w:rsidRPr="00273978">
        <w:rPr>
          <w:rFonts w:ascii="Arial" w:hAnsi="Arial" w:cs="Arial"/>
          <w:sz w:val="20"/>
          <w:szCs w:val="20"/>
        </w:rPr>
        <w:t>ough an exempt review</w:t>
      </w:r>
    </w:p>
    <w:p w14:paraId="1D6F003D" w14:textId="779FCD4A" w:rsidR="007E36DB" w:rsidRPr="00273978" w:rsidRDefault="00EF1A89" w:rsidP="00273978">
      <w:pPr>
        <w:numPr>
          <w:ilvl w:val="0"/>
          <w:numId w:val="2"/>
        </w:numPr>
        <w:spacing w:line="240" w:lineRule="auto"/>
        <w:contextualSpacing/>
        <w:rPr>
          <w:rFonts w:ascii="Arial" w:hAnsi="Arial" w:cs="Arial"/>
          <w:sz w:val="20"/>
          <w:szCs w:val="20"/>
        </w:rPr>
      </w:pPr>
      <w:r w:rsidRPr="00273978">
        <w:rPr>
          <w:rFonts w:ascii="Arial" w:hAnsi="Arial" w:cs="Arial"/>
          <w:sz w:val="20"/>
          <w:szCs w:val="20"/>
        </w:rPr>
        <w:t>S</w:t>
      </w:r>
      <w:r w:rsidR="007E36DB" w:rsidRPr="00273978">
        <w:rPr>
          <w:rFonts w:ascii="Arial" w:hAnsi="Arial" w:cs="Arial"/>
          <w:sz w:val="20"/>
          <w:szCs w:val="20"/>
        </w:rPr>
        <w:t xml:space="preserve">tudies approved through an expedited </w:t>
      </w:r>
      <w:r w:rsidRPr="00273978">
        <w:rPr>
          <w:rFonts w:ascii="Arial" w:hAnsi="Arial" w:cs="Arial"/>
          <w:sz w:val="20"/>
          <w:szCs w:val="20"/>
        </w:rPr>
        <w:t>review</w:t>
      </w:r>
    </w:p>
    <w:p w14:paraId="0F397D78" w14:textId="77777777" w:rsidR="007F19D4" w:rsidRPr="00273978" w:rsidRDefault="007F19D4" w:rsidP="007F19D4">
      <w:pPr>
        <w:spacing w:line="240" w:lineRule="auto"/>
        <w:ind w:left="720"/>
        <w:contextualSpacing/>
        <w:rPr>
          <w:rFonts w:ascii="Arial" w:hAnsi="Arial" w:cs="Arial"/>
          <w:sz w:val="20"/>
          <w:szCs w:val="20"/>
        </w:rPr>
      </w:pPr>
    </w:p>
    <w:p w14:paraId="7AA22276" w14:textId="12F1D16B" w:rsidR="007E36DB" w:rsidRDefault="007E36DB" w:rsidP="00273978">
      <w:pPr>
        <w:spacing w:line="240" w:lineRule="auto"/>
        <w:contextualSpacing/>
        <w:rPr>
          <w:rFonts w:ascii="Arial" w:hAnsi="Arial" w:cs="Arial"/>
          <w:sz w:val="20"/>
          <w:szCs w:val="20"/>
        </w:rPr>
      </w:pPr>
      <w:r w:rsidRPr="00273978">
        <w:rPr>
          <w:rFonts w:ascii="Arial" w:hAnsi="Arial" w:cs="Arial"/>
          <w:sz w:val="20"/>
          <w:szCs w:val="20"/>
        </w:rPr>
        <w:lastRenderedPageBreak/>
        <w:t>A system-generated annual notice will be sent to investigators as a reminder that modifications, reportable events</w:t>
      </w:r>
      <w:r w:rsidR="00932889">
        <w:rPr>
          <w:rFonts w:ascii="Arial" w:hAnsi="Arial" w:cs="Arial"/>
          <w:sz w:val="20"/>
          <w:szCs w:val="20"/>
        </w:rPr>
        <w:t>,</w:t>
      </w:r>
      <w:r w:rsidRPr="00273978">
        <w:rPr>
          <w:rFonts w:ascii="Arial" w:hAnsi="Arial" w:cs="Arial"/>
          <w:sz w:val="20"/>
          <w:szCs w:val="20"/>
        </w:rPr>
        <w:t xml:space="preserve"> and </w:t>
      </w:r>
      <w:r w:rsidR="001209F3">
        <w:rPr>
          <w:rFonts w:ascii="Arial" w:hAnsi="Arial" w:cs="Arial"/>
          <w:sz w:val="20"/>
          <w:szCs w:val="20"/>
        </w:rPr>
        <w:t>completion</w:t>
      </w:r>
      <w:r w:rsidR="001209F3" w:rsidRPr="00273978">
        <w:rPr>
          <w:rFonts w:ascii="Arial" w:hAnsi="Arial" w:cs="Arial"/>
          <w:sz w:val="20"/>
          <w:szCs w:val="20"/>
        </w:rPr>
        <w:t xml:space="preserve"> </w:t>
      </w:r>
      <w:r w:rsidRPr="00273978">
        <w:rPr>
          <w:rFonts w:ascii="Arial" w:hAnsi="Arial" w:cs="Arial"/>
          <w:sz w:val="20"/>
          <w:szCs w:val="20"/>
        </w:rPr>
        <w:t>reports still need to be submitted to the IRB</w:t>
      </w:r>
      <w:r w:rsidR="001209F3">
        <w:rPr>
          <w:rFonts w:ascii="Arial" w:hAnsi="Arial" w:cs="Arial"/>
          <w:sz w:val="20"/>
          <w:szCs w:val="20"/>
        </w:rPr>
        <w:t xml:space="preserve"> for review</w:t>
      </w:r>
      <w:r w:rsidRPr="00273978">
        <w:rPr>
          <w:rFonts w:ascii="Arial" w:hAnsi="Arial" w:cs="Arial"/>
          <w:sz w:val="20"/>
          <w:szCs w:val="20"/>
        </w:rPr>
        <w:t xml:space="preserve">. </w:t>
      </w:r>
      <w:hyperlink r:id="rId12" w:history="1">
        <w:r w:rsidRPr="00BC2E29">
          <w:rPr>
            <w:rStyle w:val="Hyperlink"/>
            <w:rFonts w:ascii="Arial" w:hAnsi="Arial" w:cs="Arial"/>
            <w:sz w:val="20"/>
            <w:szCs w:val="20"/>
          </w:rPr>
          <w:t>[§46.109(f)(1)]</w:t>
        </w:r>
      </w:hyperlink>
    </w:p>
    <w:p w14:paraId="7C211F77" w14:textId="77777777" w:rsidR="00273978" w:rsidRPr="00273978" w:rsidRDefault="00273978" w:rsidP="00273978">
      <w:pPr>
        <w:spacing w:line="240" w:lineRule="auto"/>
        <w:contextualSpacing/>
        <w:rPr>
          <w:rFonts w:ascii="Arial" w:hAnsi="Arial" w:cs="Arial"/>
          <w:sz w:val="20"/>
          <w:szCs w:val="20"/>
        </w:rPr>
      </w:pPr>
    </w:p>
    <w:p w14:paraId="3910FC1C" w14:textId="77777777" w:rsidR="007E36DB" w:rsidRPr="00C13635" w:rsidRDefault="00A36FED" w:rsidP="007E36DB">
      <w:pPr>
        <w:rPr>
          <w:rFonts w:ascii="Arial" w:hAnsi="Arial" w:cs="Arial"/>
          <w:b/>
          <w:bCs/>
        </w:rPr>
      </w:pPr>
      <w:hyperlink r:id="rId13" w:tgtFrame="_blank" w:history="1">
        <w:r w:rsidR="007E36DB" w:rsidRPr="00C13635">
          <w:rPr>
            <w:rStyle w:val="Hyperlink"/>
            <w:rFonts w:ascii="Arial" w:hAnsi="Arial" w:cs="Arial"/>
            <w:b/>
            <w:bCs/>
            <w:color w:val="auto"/>
            <w:u w:val="none"/>
          </w:rPr>
          <w:t>Consent Process and Forms</w:t>
        </w:r>
      </w:hyperlink>
    </w:p>
    <w:p w14:paraId="5BA47FBC" w14:textId="50EB192E" w:rsidR="00FC406F" w:rsidRPr="00273978" w:rsidRDefault="0027219F" w:rsidP="007E36DB">
      <w:pPr>
        <w:rPr>
          <w:rFonts w:ascii="Arial" w:hAnsi="Arial" w:cs="Arial"/>
          <w:sz w:val="20"/>
        </w:rPr>
      </w:pPr>
      <w:hyperlink r:id="rId14" w:history="1">
        <w:r w:rsidRPr="0027219F">
          <w:rPr>
            <w:rStyle w:val="Hyperlink"/>
            <w:rFonts w:ascii="Arial" w:hAnsi="Arial" w:cs="Arial"/>
            <w:sz w:val="20"/>
          </w:rPr>
          <w:t>I</w:t>
        </w:r>
        <w:r w:rsidR="007E36DB" w:rsidRPr="0027219F">
          <w:rPr>
            <w:rStyle w:val="Hyperlink"/>
            <w:rFonts w:ascii="Arial" w:hAnsi="Arial" w:cs="Arial"/>
            <w:sz w:val="20"/>
          </w:rPr>
          <w:t>nformed consent</w:t>
        </w:r>
      </w:hyperlink>
      <w:r w:rsidR="007E36DB" w:rsidRPr="00273978">
        <w:rPr>
          <w:rFonts w:ascii="Arial" w:hAnsi="Arial" w:cs="Arial"/>
          <w:sz w:val="20"/>
        </w:rPr>
        <w:t xml:space="preserve"> must begin with a "concise and focused presentation of the key information" that would assist subjects in deciding </w:t>
      </w:r>
      <w:r>
        <w:rPr>
          <w:rFonts w:ascii="Arial" w:hAnsi="Arial" w:cs="Arial"/>
          <w:sz w:val="20"/>
        </w:rPr>
        <w:t>whether they want to</w:t>
      </w:r>
      <w:r w:rsidR="007E36DB" w:rsidRPr="00273978">
        <w:rPr>
          <w:rFonts w:ascii="Arial" w:hAnsi="Arial" w:cs="Arial"/>
          <w:sz w:val="20"/>
        </w:rPr>
        <w:t xml:space="preserve"> want to participate in the research.  It needs to be organized and presented in a way that facilitates comprehension. </w:t>
      </w:r>
      <w:hyperlink r:id="rId15" w:history="1">
        <w:r w:rsidR="007E36DB" w:rsidRPr="00BC2E29">
          <w:rPr>
            <w:rStyle w:val="Hyperlink"/>
            <w:rFonts w:ascii="Arial" w:hAnsi="Arial" w:cs="Arial"/>
            <w:sz w:val="20"/>
          </w:rPr>
          <w:t>[§46.116(a)]. </w:t>
        </w:r>
      </w:hyperlink>
      <w:r w:rsidR="007E36DB" w:rsidRPr="00273978">
        <w:rPr>
          <w:rFonts w:ascii="Arial" w:hAnsi="Arial" w:cs="Arial"/>
          <w:sz w:val="20"/>
        </w:rPr>
        <w:t xml:space="preserve"> </w:t>
      </w:r>
    </w:p>
    <w:p w14:paraId="21B6CFFB" w14:textId="7D8A214C" w:rsidR="007F19D4" w:rsidRDefault="00FC406F" w:rsidP="007E36DB">
      <w:pPr>
        <w:rPr>
          <w:rFonts w:ascii="Arial" w:hAnsi="Arial" w:cs="Arial"/>
          <w:sz w:val="20"/>
        </w:rPr>
      </w:pPr>
      <w:r w:rsidRPr="00273978">
        <w:rPr>
          <w:rFonts w:ascii="Arial" w:hAnsi="Arial" w:cs="Arial"/>
          <w:sz w:val="20"/>
        </w:rPr>
        <w:t xml:space="preserve">Broad consent (e.g. prospective consent to unspecified future research) may be obtained in lieu of informed consent for secondary research use, storage, and maintenance of identifiable private information and identifiable biospecimens. </w:t>
      </w:r>
      <w:hyperlink r:id="rId16" w:history="1">
        <w:r w:rsidRPr="00725896">
          <w:rPr>
            <w:rStyle w:val="Hyperlink"/>
            <w:rFonts w:ascii="Arial" w:hAnsi="Arial" w:cs="Arial"/>
            <w:sz w:val="20"/>
          </w:rPr>
          <w:t>Recommendations for a Broad Consent T</w:t>
        </w:r>
        <w:r w:rsidR="00725896" w:rsidRPr="00725896">
          <w:rPr>
            <w:rStyle w:val="Hyperlink"/>
            <w:rFonts w:ascii="Arial" w:hAnsi="Arial" w:cs="Arial"/>
            <w:sz w:val="20"/>
          </w:rPr>
          <w:t>emplate</w:t>
        </w:r>
      </w:hyperlink>
    </w:p>
    <w:p w14:paraId="366919A8" w14:textId="2B561D82" w:rsidR="00FC406F" w:rsidRPr="00273978" w:rsidRDefault="00FC406F" w:rsidP="007E36DB">
      <w:pPr>
        <w:rPr>
          <w:rFonts w:ascii="Arial" w:hAnsi="Arial" w:cs="Arial"/>
          <w:sz w:val="20"/>
        </w:rPr>
      </w:pPr>
      <w:r w:rsidRPr="00273978">
        <w:rPr>
          <w:rFonts w:ascii="Arial" w:hAnsi="Arial" w:cs="Arial"/>
          <w:sz w:val="20"/>
        </w:rPr>
        <w:t xml:space="preserve">For research involving collection of identifiable private information or identifiable biospecimens, subjects should be provided with: </w:t>
      </w:r>
    </w:p>
    <w:p w14:paraId="112D0A98" w14:textId="264A8679" w:rsidR="00FC406F" w:rsidRPr="007F19D4" w:rsidRDefault="00FC406F" w:rsidP="007F19D4">
      <w:pPr>
        <w:pStyle w:val="ListParagraph"/>
        <w:numPr>
          <w:ilvl w:val="0"/>
          <w:numId w:val="2"/>
        </w:numPr>
        <w:rPr>
          <w:rFonts w:ascii="Arial" w:hAnsi="Arial" w:cs="Arial"/>
          <w:b/>
          <w:bCs/>
          <w:sz w:val="20"/>
        </w:rPr>
      </w:pPr>
      <w:r w:rsidRPr="00273978">
        <w:rPr>
          <w:rFonts w:ascii="Arial" w:hAnsi="Arial" w:cs="Arial"/>
          <w:sz w:val="20"/>
        </w:rPr>
        <w:t>A statement that identifiers might be removed from the identifiable private information or identifiable biospecimens; and</w:t>
      </w:r>
      <w:r w:rsidR="002241C9">
        <w:rPr>
          <w:rFonts w:ascii="Arial" w:hAnsi="Arial" w:cs="Arial"/>
          <w:sz w:val="20"/>
        </w:rPr>
        <w:t>,</w:t>
      </w:r>
      <w:r w:rsidR="007F19D4">
        <w:rPr>
          <w:rFonts w:ascii="Arial" w:hAnsi="Arial" w:cs="Arial"/>
          <w:sz w:val="20"/>
        </w:rPr>
        <w:t xml:space="preserve"> </w:t>
      </w:r>
      <w:r w:rsidR="00154251" w:rsidRPr="007F19D4">
        <w:rPr>
          <w:rFonts w:ascii="Arial" w:hAnsi="Arial" w:cs="Arial"/>
          <w:sz w:val="20"/>
        </w:rPr>
        <w:t>the</w:t>
      </w:r>
      <w:bookmarkStart w:id="0" w:name="_GoBack"/>
      <w:bookmarkEnd w:id="0"/>
      <w:r w:rsidRPr="007F19D4">
        <w:rPr>
          <w:rFonts w:ascii="Arial" w:hAnsi="Arial" w:cs="Arial"/>
          <w:sz w:val="20"/>
        </w:rPr>
        <w:t xml:space="preserve"> information or biospecimens could be used for future research studies or distributed to another investigator for future research studies without additional informed consent, where applicable; OR</w:t>
      </w:r>
    </w:p>
    <w:p w14:paraId="07FC362D" w14:textId="77777777" w:rsidR="00FC406F" w:rsidRPr="00273978" w:rsidRDefault="00FC406F" w:rsidP="007524E9">
      <w:pPr>
        <w:pStyle w:val="ListParagraph"/>
        <w:numPr>
          <w:ilvl w:val="0"/>
          <w:numId w:val="2"/>
        </w:numPr>
        <w:rPr>
          <w:rFonts w:ascii="Arial" w:hAnsi="Arial" w:cs="Arial"/>
          <w:b/>
          <w:bCs/>
          <w:sz w:val="20"/>
        </w:rPr>
      </w:pPr>
      <w:r w:rsidRPr="00273978">
        <w:rPr>
          <w:rFonts w:ascii="Arial" w:hAnsi="Arial" w:cs="Arial"/>
          <w:sz w:val="20"/>
        </w:rPr>
        <w:t>A statement that the subject’s information or biospecimens collected as part of the research, even if identifiers are removed, will not be used or distributed for future research studies</w:t>
      </w:r>
    </w:p>
    <w:p w14:paraId="71B6FE5D" w14:textId="77777777" w:rsidR="007E36DB" w:rsidRDefault="00FC406F" w:rsidP="007E36DB">
      <w:pPr>
        <w:rPr>
          <w:rFonts w:ascii="Arial" w:hAnsi="Arial" w:cs="Arial"/>
          <w:b/>
          <w:bCs/>
        </w:rPr>
      </w:pPr>
      <w:r>
        <w:rPr>
          <w:rFonts w:ascii="Arial" w:hAnsi="Arial" w:cs="Arial"/>
          <w:b/>
          <w:bCs/>
        </w:rPr>
        <w:t xml:space="preserve">New </w:t>
      </w:r>
      <w:r w:rsidR="007E36DB" w:rsidRPr="007E36DB">
        <w:rPr>
          <w:rFonts w:ascii="Arial" w:hAnsi="Arial" w:cs="Arial"/>
          <w:b/>
          <w:bCs/>
        </w:rPr>
        <w:t>Elements of Informed Consent</w:t>
      </w:r>
    </w:p>
    <w:p w14:paraId="54956017" w14:textId="77777777" w:rsidR="00FC406F" w:rsidRPr="00273978" w:rsidRDefault="00FC406F" w:rsidP="00FC406F">
      <w:pPr>
        <w:pStyle w:val="ListParagraph"/>
        <w:numPr>
          <w:ilvl w:val="0"/>
          <w:numId w:val="4"/>
        </w:numPr>
        <w:rPr>
          <w:rFonts w:ascii="Arial" w:hAnsi="Arial" w:cs="Arial"/>
          <w:b/>
          <w:bCs/>
          <w:sz w:val="20"/>
        </w:rPr>
      </w:pPr>
      <w:r w:rsidRPr="00273978">
        <w:rPr>
          <w:rFonts w:ascii="Arial" w:hAnsi="Arial" w:cs="Arial"/>
          <w:sz w:val="20"/>
        </w:rPr>
        <w:t>Statement that biospecimens may be used for commercial profit (when applicable), and whether or not the subject will share in that profit;</w:t>
      </w:r>
    </w:p>
    <w:p w14:paraId="0194435A" w14:textId="77777777" w:rsidR="00FC406F" w:rsidRPr="00273978" w:rsidRDefault="00FC406F" w:rsidP="00FC406F">
      <w:pPr>
        <w:pStyle w:val="ListParagraph"/>
        <w:numPr>
          <w:ilvl w:val="0"/>
          <w:numId w:val="4"/>
        </w:numPr>
        <w:rPr>
          <w:rFonts w:ascii="Arial" w:hAnsi="Arial" w:cs="Arial"/>
          <w:b/>
          <w:bCs/>
          <w:sz w:val="20"/>
        </w:rPr>
      </w:pPr>
      <w:r w:rsidRPr="00273978">
        <w:rPr>
          <w:rFonts w:ascii="Arial" w:hAnsi="Arial" w:cs="Arial"/>
          <w:sz w:val="20"/>
        </w:rPr>
        <w:t xml:space="preserve">Statement regarding whether clinically relevant research results will be returned to subjects, and under what conditions; and </w:t>
      </w:r>
    </w:p>
    <w:p w14:paraId="0617FA5A" w14:textId="00DB9ABF" w:rsidR="00FC406F" w:rsidRPr="00273978" w:rsidRDefault="00FC406F" w:rsidP="0026321F">
      <w:pPr>
        <w:pStyle w:val="ListParagraph"/>
        <w:numPr>
          <w:ilvl w:val="0"/>
          <w:numId w:val="4"/>
        </w:numPr>
        <w:rPr>
          <w:rFonts w:ascii="Arial" w:hAnsi="Arial" w:cs="Arial"/>
          <w:sz w:val="20"/>
        </w:rPr>
      </w:pPr>
      <w:r w:rsidRPr="00273978">
        <w:rPr>
          <w:rFonts w:ascii="Arial" w:hAnsi="Arial" w:cs="Arial"/>
          <w:sz w:val="20"/>
        </w:rPr>
        <w:t>Statement specifically for research involving biospecimens about whether the research will or might include whole genome sequencing.</w:t>
      </w:r>
    </w:p>
    <w:p w14:paraId="60EC02BB" w14:textId="2A63D6B3" w:rsidR="007E36DB" w:rsidRPr="00273978" w:rsidRDefault="007E36DB" w:rsidP="00FC406F">
      <w:pPr>
        <w:rPr>
          <w:rFonts w:ascii="Arial" w:hAnsi="Arial" w:cs="Arial"/>
          <w:sz w:val="20"/>
        </w:rPr>
      </w:pPr>
      <w:r w:rsidRPr="00273978">
        <w:rPr>
          <w:rFonts w:ascii="Arial" w:hAnsi="Arial" w:cs="Arial"/>
          <w:sz w:val="20"/>
        </w:rPr>
        <w:t>These new elements will be expected in consen</w:t>
      </w:r>
      <w:r w:rsidR="00C13635" w:rsidRPr="00273978">
        <w:rPr>
          <w:rFonts w:ascii="Arial" w:hAnsi="Arial" w:cs="Arial"/>
          <w:sz w:val="20"/>
        </w:rPr>
        <w:t xml:space="preserve">t forms approved after January </w:t>
      </w:r>
      <w:r w:rsidRPr="00273978">
        <w:rPr>
          <w:rFonts w:ascii="Arial" w:hAnsi="Arial" w:cs="Arial"/>
          <w:sz w:val="20"/>
        </w:rPr>
        <w:t>1</w:t>
      </w:r>
      <w:r w:rsidR="00C13635" w:rsidRPr="00273978">
        <w:rPr>
          <w:rFonts w:ascii="Arial" w:hAnsi="Arial" w:cs="Arial"/>
          <w:sz w:val="20"/>
        </w:rPr>
        <w:t>9</w:t>
      </w:r>
      <w:r w:rsidRPr="00273978">
        <w:rPr>
          <w:rFonts w:ascii="Arial" w:hAnsi="Arial" w:cs="Arial"/>
          <w:sz w:val="20"/>
        </w:rPr>
        <w:t>, 2019. </w:t>
      </w:r>
      <w:r w:rsidR="002241C9" w:rsidRPr="00273978">
        <w:rPr>
          <w:rFonts w:ascii="Arial" w:hAnsi="Arial" w:cs="Arial"/>
          <w:sz w:val="20"/>
        </w:rPr>
        <w:t xml:space="preserve"> </w:t>
      </w:r>
    </w:p>
    <w:p w14:paraId="5931B2AF" w14:textId="77777777" w:rsidR="007E36DB" w:rsidRPr="007E36DB" w:rsidRDefault="007E36DB" w:rsidP="007E36DB">
      <w:pPr>
        <w:rPr>
          <w:rFonts w:ascii="Arial" w:hAnsi="Arial" w:cs="Arial"/>
          <w:b/>
          <w:bCs/>
        </w:rPr>
      </w:pPr>
      <w:r w:rsidRPr="007E36DB">
        <w:rPr>
          <w:rFonts w:ascii="Arial" w:hAnsi="Arial" w:cs="Arial"/>
          <w:b/>
          <w:bCs/>
        </w:rPr>
        <w:t>Waiver of Informed Consent</w:t>
      </w:r>
    </w:p>
    <w:p w14:paraId="62A0D790" w14:textId="14814609" w:rsidR="00C13635" w:rsidRPr="00273978" w:rsidRDefault="007E36DB">
      <w:pPr>
        <w:rPr>
          <w:rFonts w:ascii="Arial" w:hAnsi="Arial" w:cs="Arial"/>
          <w:sz w:val="20"/>
        </w:rPr>
      </w:pPr>
      <w:r w:rsidRPr="00273978">
        <w:rPr>
          <w:rFonts w:ascii="Arial" w:hAnsi="Arial" w:cs="Arial"/>
          <w:sz w:val="20"/>
        </w:rPr>
        <w:t>An additional criterion has been added that requires investigators to justify the use of identifiable private information or identifiable biospecimens. A waiver of informed consent is no longer necessary for screening or recruitment procedures as long as the IRB approves the</w:t>
      </w:r>
      <w:r w:rsidR="007D0A2E" w:rsidRPr="00273978">
        <w:rPr>
          <w:rFonts w:ascii="Arial" w:hAnsi="Arial" w:cs="Arial"/>
          <w:sz w:val="20"/>
        </w:rPr>
        <w:t xml:space="preserve"> </w:t>
      </w:r>
      <w:r w:rsidRPr="00273978">
        <w:rPr>
          <w:rFonts w:ascii="Arial" w:hAnsi="Arial" w:cs="Arial"/>
          <w:sz w:val="20"/>
        </w:rPr>
        <w:t xml:space="preserve">procedures as a part of the protocol.  </w:t>
      </w:r>
      <w:hyperlink r:id="rId17" w:history="1">
        <w:r w:rsidRPr="00725896">
          <w:rPr>
            <w:rStyle w:val="Hyperlink"/>
            <w:rFonts w:ascii="Arial" w:hAnsi="Arial" w:cs="Arial"/>
            <w:sz w:val="20"/>
          </w:rPr>
          <w:t>[§46.116(g)]</w:t>
        </w:r>
      </w:hyperlink>
    </w:p>
    <w:p w14:paraId="6CB3156F" w14:textId="7A8F3289" w:rsidR="002B4C0A" w:rsidRDefault="002B4C0A">
      <w:pPr>
        <w:rPr>
          <w:rFonts w:ascii="Arial" w:hAnsi="Arial" w:cs="Arial"/>
          <w:b/>
        </w:rPr>
      </w:pPr>
      <w:r w:rsidRPr="002B4C0A">
        <w:rPr>
          <w:rFonts w:ascii="Arial" w:hAnsi="Arial" w:cs="Arial"/>
          <w:b/>
        </w:rPr>
        <w:t>Single IRB</w:t>
      </w:r>
      <w:r w:rsidR="00A07FDF">
        <w:rPr>
          <w:rFonts w:ascii="Arial" w:hAnsi="Arial" w:cs="Arial"/>
          <w:b/>
        </w:rPr>
        <w:t xml:space="preserve"> for Federally Funded Studies</w:t>
      </w:r>
    </w:p>
    <w:p w14:paraId="2D4A3405" w14:textId="77777777" w:rsidR="002B4C0A" w:rsidRPr="00273978" w:rsidRDefault="002B4C0A" w:rsidP="002B4C0A">
      <w:pPr>
        <w:pStyle w:val="ListParagraph"/>
        <w:numPr>
          <w:ilvl w:val="0"/>
          <w:numId w:val="11"/>
        </w:numPr>
        <w:rPr>
          <w:rFonts w:ascii="Arial" w:hAnsi="Arial" w:cs="Arial"/>
          <w:sz w:val="20"/>
        </w:rPr>
      </w:pPr>
      <w:r w:rsidRPr="00273978">
        <w:rPr>
          <w:rFonts w:ascii="Arial" w:hAnsi="Arial" w:cs="Arial"/>
          <w:sz w:val="20"/>
        </w:rPr>
        <w:t>A single IRB must approve cooperative studies for research (projects that involve more than one institution) conducted in the United States, except where:</w:t>
      </w:r>
    </w:p>
    <w:p w14:paraId="12BA5E7D" w14:textId="77777777" w:rsidR="002B4C0A" w:rsidRPr="00273978" w:rsidRDefault="002B4C0A" w:rsidP="002B4C0A">
      <w:pPr>
        <w:pStyle w:val="ListParagraph"/>
        <w:numPr>
          <w:ilvl w:val="1"/>
          <w:numId w:val="11"/>
        </w:numPr>
        <w:rPr>
          <w:rFonts w:ascii="Arial" w:hAnsi="Arial" w:cs="Arial"/>
          <w:sz w:val="20"/>
        </w:rPr>
      </w:pPr>
      <w:r w:rsidRPr="00273978">
        <w:rPr>
          <w:rFonts w:ascii="Arial" w:hAnsi="Arial" w:cs="Arial"/>
          <w:sz w:val="20"/>
        </w:rPr>
        <w:t xml:space="preserve">More than a single IRB review is required by law (including tribal law); or </w:t>
      </w:r>
    </w:p>
    <w:p w14:paraId="12C79D81" w14:textId="77777777" w:rsidR="002B4C0A" w:rsidRPr="00273978" w:rsidRDefault="002B4C0A" w:rsidP="002B4C0A">
      <w:pPr>
        <w:pStyle w:val="ListParagraph"/>
        <w:numPr>
          <w:ilvl w:val="1"/>
          <w:numId w:val="11"/>
        </w:numPr>
        <w:rPr>
          <w:rFonts w:ascii="Arial" w:hAnsi="Arial" w:cs="Arial"/>
          <w:sz w:val="20"/>
        </w:rPr>
      </w:pPr>
      <w:r w:rsidRPr="00273978">
        <w:rPr>
          <w:rFonts w:ascii="Arial" w:hAnsi="Arial" w:cs="Arial"/>
          <w:sz w:val="20"/>
        </w:rPr>
        <w:t xml:space="preserve">Research for which any Federal department or agency supporting or conducting the research determines and documents that the use of a single IRB is not appropriate. </w:t>
      </w:r>
    </w:p>
    <w:p w14:paraId="0EF22B44" w14:textId="77777777" w:rsidR="002B4C0A" w:rsidRPr="00273978" w:rsidRDefault="002B4C0A" w:rsidP="002B4C0A">
      <w:pPr>
        <w:pStyle w:val="ListParagraph"/>
        <w:numPr>
          <w:ilvl w:val="0"/>
          <w:numId w:val="11"/>
        </w:numPr>
        <w:rPr>
          <w:rFonts w:ascii="Arial" w:hAnsi="Arial" w:cs="Arial"/>
          <w:sz w:val="20"/>
        </w:rPr>
      </w:pPr>
      <w:r w:rsidRPr="00273978">
        <w:rPr>
          <w:rFonts w:ascii="Arial" w:hAnsi="Arial" w:cs="Arial"/>
          <w:sz w:val="20"/>
        </w:rPr>
        <w:t>The reviewing IRB will be identified by the Federal department or agency supporting or conducting the research or proposed by the lead institution subject to the acceptance of such Federal department or agency</w:t>
      </w:r>
    </w:p>
    <w:p w14:paraId="7B729B87" w14:textId="77777777" w:rsidR="002B4C0A" w:rsidRPr="00273978" w:rsidRDefault="002B4C0A" w:rsidP="002B4C0A">
      <w:pPr>
        <w:pStyle w:val="ListParagraph"/>
        <w:numPr>
          <w:ilvl w:val="0"/>
          <w:numId w:val="11"/>
        </w:numPr>
        <w:rPr>
          <w:rFonts w:ascii="Arial" w:hAnsi="Arial" w:cs="Arial"/>
          <w:sz w:val="20"/>
        </w:rPr>
      </w:pPr>
      <w:r w:rsidRPr="00273978">
        <w:rPr>
          <w:rFonts w:ascii="Arial" w:hAnsi="Arial" w:cs="Arial"/>
          <w:sz w:val="20"/>
        </w:rPr>
        <w:t>Documentation specifying the responsibilities of each entity, when research takes place at an institution in which IRB oversight is outsourced</w:t>
      </w:r>
    </w:p>
    <w:p w14:paraId="76C58359" w14:textId="43D708CE" w:rsidR="002B4C0A" w:rsidRPr="00273978" w:rsidRDefault="002B4C0A" w:rsidP="002B4C0A">
      <w:pPr>
        <w:pStyle w:val="ListParagraph"/>
        <w:numPr>
          <w:ilvl w:val="0"/>
          <w:numId w:val="11"/>
        </w:numPr>
        <w:rPr>
          <w:rFonts w:ascii="Arial" w:hAnsi="Arial" w:cs="Arial"/>
          <w:sz w:val="20"/>
        </w:rPr>
      </w:pPr>
      <w:r w:rsidRPr="00273978">
        <w:rPr>
          <w:rFonts w:ascii="Arial" w:hAnsi="Arial" w:cs="Arial"/>
          <w:sz w:val="20"/>
        </w:rPr>
        <w:t xml:space="preserve">Common Rule agencies and departments will be given authority to enforce compliance against IRBs that are not operated by a </w:t>
      </w:r>
      <w:r w:rsidR="00932889" w:rsidRPr="00273978">
        <w:rPr>
          <w:rFonts w:ascii="Arial" w:hAnsi="Arial" w:cs="Arial"/>
          <w:sz w:val="20"/>
        </w:rPr>
        <w:t>Federal Wide</w:t>
      </w:r>
      <w:r w:rsidRPr="00273978">
        <w:rPr>
          <w:rFonts w:ascii="Arial" w:hAnsi="Arial" w:cs="Arial"/>
          <w:sz w:val="20"/>
        </w:rPr>
        <w:t xml:space="preserve"> Assurance (FWA)-holding institution</w:t>
      </w:r>
    </w:p>
    <w:p w14:paraId="124CF089" w14:textId="6FD01A0A" w:rsidR="002B4C0A" w:rsidRDefault="002B4C0A" w:rsidP="002B4C0A">
      <w:pPr>
        <w:pStyle w:val="ListParagraph"/>
        <w:numPr>
          <w:ilvl w:val="0"/>
          <w:numId w:val="11"/>
        </w:numPr>
        <w:rPr>
          <w:rFonts w:ascii="Arial" w:hAnsi="Arial" w:cs="Arial"/>
          <w:sz w:val="20"/>
        </w:rPr>
      </w:pPr>
      <w:r w:rsidRPr="00273978">
        <w:rPr>
          <w:rFonts w:ascii="Arial" w:hAnsi="Arial" w:cs="Arial"/>
          <w:sz w:val="20"/>
        </w:rPr>
        <w:t>Common Rule effective date is January 19, 2020. The NIH Single IRB (sIRB) requirement was effective as of January 25, 2018.</w:t>
      </w:r>
    </w:p>
    <w:p w14:paraId="1D83E0E7" w14:textId="0E762626" w:rsidR="002241C9" w:rsidRDefault="002241C9" w:rsidP="002241C9">
      <w:pPr>
        <w:rPr>
          <w:rFonts w:ascii="Arial" w:hAnsi="Arial" w:cs="Arial"/>
          <w:sz w:val="20"/>
        </w:rPr>
      </w:pPr>
    </w:p>
    <w:p w14:paraId="65A2257E" w14:textId="18853AA0" w:rsidR="002241C9" w:rsidRDefault="002241C9" w:rsidP="002241C9">
      <w:pPr>
        <w:rPr>
          <w:rFonts w:ascii="Arial" w:hAnsi="Arial" w:cs="Arial"/>
          <w:sz w:val="20"/>
        </w:rPr>
      </w:pPr>
    </w:p>
    <w:p w14:paraId="4A26DC86" w14:textId="77777777" w:rsidR="002241C9" w:rsidRPr="002241C9" w:rsidRDefault="002241C9" w:rsidP="002241C9">
      <w:pPr>
        <w:rPr>
          <w:rFonts w:ascii="Arial" w:hAnsi="Arial" w:cs="Arial"/>
          <w:sz w:val="20"/>
        </w:rPr>
      </w:pPr>
    </w:p>
    <w:p w14:paraId="5EC25182" w14:textId="63396729" w:rsidR="001E6819" w:rsidRDefault="001E6819" w:rsidP="00273978">
      <w:pPr>
        <w:jc w:val="center"/>
        <w:rPr>
          <w:rFonts w:ascii="Arial" w:hAnsi="Arial" w:cs="Arial"/>
          <w:b/>
          <w:u w:val="single"/>
        </w:rPr>
      </w:pPr>
      <w:r w:rsidRPr="001E6819">
        <w:rPr>
          <w:rFonts w:ascii="Arial" w:hAnsi="Arial" w:cs="Arial"/>
          <w:b/>
          <w:u w:val="single"/>
        </w:rPr>
        <w:lastRenderedPageBreak/>
        <w:t>How Does This Affect Me as a Researcher?</w:t>
      </w:r>
    </w:p>
    <w:p w14:paraId="5FBDC476" w14:textId="799858AA" w:rsidR="001E6819" w:rsidRPr="00273978" w:rsidRDefault="001E6819" w:rsidP="001E6819">
      <w:pPr>
        <w:rPr>
          <w:rFonts w:ascii="Arial" w:hAnsi="Arial" w:cs="Arial"/>
          <w:sz w:val="20"/>
        </w:rPr>
      </w:pPr>
      <w:r w:rsidRPr="00273978">
        <w:rPr>
          <w:rFonts w:ascii="Arial" w:hAnsi="Arial" w:cs="Arial"/>
          <w:sz w:val="20"/>
        </w:rPr>
        <w:t>Pending applications for new studies after January 19,</w:t>
      </w:r>
      <w:r w:rsidR="00932889">
        <w:rPr>
          <w:rFonts w:ascii="Arial" w:hAnsi="Arial" w:cs="Arial"/>
          <w:sz w:val="20"/>
        </w:rPr>
        <w:t xml:space="preserve"> </w:t>
      </w:r>
      <w:r w:rsidRPr="00273978">
        <w:rPr>
          <w:rFonts w:ascii="Arial" w:hAnsi="Arial" w:cs="Arial"/>
          <w:sz w:val="20"/>
        </w:rPr>
        <w:t xml:space="preserve">2019 will be reviewed under the new regulations. Researchers may need to work with IRB administrator to address any adjustments to protocol materials to achieve compliance with the revised regulations. If you have question or concerns about the new change or would like to schedule an educational training session contact us at </w:t>
      </w:r>
      <w:hyperlink r:id="rId18" w:history="1">
        <w:r w:rsidRPr="00273978">
          <w:rPr>
            <w:rStyle w:val="Hyperlink"/>
            <w:rFonts w:ascii="Arial" w:hAnsi="Arial" w:cs="Arial"/>
            <w:sz w:val="20"/>
          </w:rPr>
          <w:t>IRB@memphis.edu</w:t>
        </w:r>
      </w:hyperlink>
      <w:r w:rsidRPr="00273978">
        <w:rPr>
          <w:rFonts w:ascii="Arial" w:hAnsi="Arial" w:cs="Arial"/>
          <w:sz w:val="20"/>
        </w:rPr>
        <w:t xml:space="preserve"> </w:t>
      </w:r>
    </w:p>
    <w:p w14:paraId="0E26D3B6" w14:textId="77777777" w:rsidR="000C359E" w:rsidRDefault="000C359E" w:rsidP="000C359E">
      <w:pPr>
        <w:jc w:val="center"/>
        <w:rPr>
          <w:rFonts w:ascii="Arial" w:hAnsi="Arial" w:cs="Arial"/>
          <w:b/>
          <w:u w:val="single"/>
        </w:rPr>
      </w:pPr>
      <w:r w:rsidRPr="000C359E">
        <w:rPr>
          <w:rFonts w:ascii="Arial" w:hAnsi="Arial" w:cs="Arial"/>
          <w:b/>
          <w:u w:val="single"/>
        </w:rPr>
        <w:t>Where Can I Learn More?</w:t>
      </w:r>
    </w:p>
    <w:p w14:paraId="0294B5BA" w14:textId="77777777" w:rsidR="000C359E" w:rsidRPr="00273978" w:rsidRDefault="000C359E" w:rsidP="000C359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rPr>
      </w:pPr>
      <w:r w:rsidRPr="00273978">
        <w:rPr>
          <w:rFonts w:ascii="Arial" w:eastAsia="Times New Roman" w:hAnsi="Arial" w:cs="Arial"/>
          <w:color w:val="333333"/>
          <w:sz w:val="20"/>
        </w:rPr>
        <w:t>The </w:t>
      </w:r>
      <w:hyperlink r:id="rId19" w:history="1">
        <w:r w:rsidRPr="00273978">
          <w:rPr>
            <w:rFonts w:ascii="Arial" w:eastAsia="Times New Roman" w:hAnsi="Arial" w:cs="Arial"/>
            <w:color w:val="0070C0"/>
            <w:sz w:val="20"/>
            <w:u w:val="single"/>
          </w:rPr>
          <w:t>Office for Human Research Protections (OHRP)</w:t>
        </w:r>
      </w:hyperlink>
      <w:r w:rsidRPr="00273978">
        <w:rPr>
          <w:rFonts w:ascii="Arial" w:eastAsia="Times New Roman" w:hAnsi="Arial" w:cs="Arial"/>
          <w:color w:val="333333"/>
          <w:sz w:val="20"/>
        </w:rPr>
        <w:t>, a division of HHS, is the lead agency who published the final rule.  This site provides a news release and commentary on the revised common rule.</w:t>
      </w:r>
    </w:p>
    <w:p w14:paraId="1E0C546C" w14:textId="77777777" w:rsidR="000C359E" w:rsidRPr="00273978" w:rsidRDefault="000C359E" w:rsidP="000C359E">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333333"/>
          <w:sz w:val="20"/>
        </w:rPr>
      </w:pPr>
      <w:r w:rsidRPr="00273978">
        <w:rPr>
          <w:rFonts w:ascii="Arial" w:eastAsia="Times New Roman" w:hAnsi="Arial" w:cs="Arial"/>
          <w:color w:val="333333"/>
          <w:sz w:val="20"/>
        </w:rPr>
        <w:t>The published version of the changes to the Common Rule in the ​</w:t>
      </w:r>
      <w:hyperlink r:id="rId20" w:tgtFrame="_blank" w:history="1">
        <w:r w:rsidRPr="00273978">
          <w:rPr>
            <w:rStyle w:val="Hyperlink"/>
            <w:rFonts w:ascii="Arial" w:eastAsia="Times New Roman" w:hAnsi="Arial" w:cs="Arial"/>
            <w:sz w:val="20"/>
          </w:rPr>
          <w:t>Federal Register</w:t>
        </w:r>
      </w:hyperlink>
      <w:r w:rsidRPr="00273978">
        <w:rPr>
          <w:rFonts w:ascii="Arial" w:eastAsia="Times New Roman" w:hAnsi="Arial" w:cs="Arial"/>
          <w:color w:val="333333"/>
          <w:sz w:val="20"/>
        </w:rPr>
        <w:t>.</w:t>
      </w:r>
    </w:p>
    <w:p w14:paraId="5A0F8163" w14:textId="77777777" w:rsidR="000C359E" w:rsidRPr="00273978" w:rsidRDefault="000C359E" w:rsidP="000C359E">
      <w:pPr>
        <w:numPr>
          <w:ilvl w:val="0"/>
          <w:numId w:val="8"/>
        </w:numPr>
        <w:shd w:val="clear" w:color="auto" w:fill="FFFFFF"/>
        <w:spacing w:before="100" w:beforeAutospacing="1" w:after="100" w:afterAutospacing="1" w:line="240" w:lineRule="auto"/>
        <w:rPr>
          <w:rFonts w:ascii="Arial" w:hAnsi="Arial" w:cs="Arial"/>
          <w:color w:val="333333"/>
          <w:sz w:val="20"/>
        </w:rPr>
      </w:pPr>
      <w:r w:rsidRPr="00273978">
        <w:rPr>
          <w:rFonts w:ascii="Arial" w:hAnsi="Arial" w:cs="Arial"/>
          <w:color w:val="333333"/>
          <w:sz w:val="20"/>
        </w:rPr>
        <w:t>Public Responsibility in Medicine &amp; Research (PRIM&amp;R) provides many helpful resources </w:t>
      </w:r>
      <w:hyperlink r:id="rId21" w:tgtFrame="_blank" w:history="1">
        <w:r w:rsidRPr="00273978">
          <w:rPr>
            <w:rStyle w:val="Hyperlink"/>
            <w:rFonts w:ascii="Arial" w:hAnsi="Arial" w:cs="Arial"/>
            <w:sz w:val="20"/>
          </w:rPr>
          <w:t>on their website</w:t>
        </w:r>
      </w:hyperlink>
      <w:r w:rsidRPr="00273978">
        <w:rPr>
          <w:rFonts w:ascii="Arial" w:hAnsi="Arial" w:cs="Arial"/>
          <w:color w:val="333333"/>
          <w:sz w:val="20"/>
        </w:rPr>
        <w:t>. Also see </w:t>
      </w:r>
      <w:hyperlink r:id="rId22" w:tgtFrame="_blank" w:history="1">
        <w:r w:rsidRPr="00273978">
          <w:rPr>
            <w:rStyle w:val="Hyperlink"/>
            <w:rFonts w:ascii="Arial" w:hAnsi="Arial" w:cs="Arial"/>
            <w:color w:val="0070C0"/>
            <w:sz w:val="20"/>
          </w:rPr>
          <w:t>PRIM&amp;R’s Primer on the Revised Common Rule Q&amp;A</w:t>
        </w:r>
      </w:hyperlink>
    </w:p>
    <w:p w14:paraId="1FE38EC1" w14:textId="77777777" w:rsidR="000C359E" w:rsidRPr="00273978" w:rsidRDefault="000C359E" w:rsidP="00273978">
      <w:pPr>
        <w:numPr>
          <w:ilvl w:val="0"/>
          <w:numId w:val="8"/>
        </w:numPr>
        <w:shd w:val="clear" w:color="auto" w:fill="FFFFFF"/>
        <w:spacing w:before="100" w:beforeAutospacing="1" w:after="100" w:afterAutospacing="1" w:line="240" w:lineRule="auto"/>
        <w:rPr>
          <w:rFonts w:ascii="Arial" w:hAnsi="Arial" w:cs="Arial"/>
          <w:color w:val="333333"/>
          <w:sz w:val="20"/>
        </w:rPr>
      </w:pPr>
      <w:r w:rsidRPr="00273978">
        <w:rPr>
          <w:rFonts w:ascii="Arial" w:hAnsi="Arial" w:cs="Arial"/>
          <w:color w:val="333333"/>
          <w:sz w:val="20"/>
        </w:rPr>
        <w:t>Collaborative Institutional Training Initiative</w:t>
      </w:r>
      <w:hyperlink r:id="rId23" w:tgtFrame="_blank" w:history="1">
        <w:r w:rsidRPr="00273978">
          <w:rPr>
            <w:rStyle w:val="Hyperlink"/>
            <w:rFonts w:ascii="Arial" w:hAnsi="Arial" w:cs="Arial"/>
            <w:sz w:val="20"/>
          </w:rPr>
          <w:t> (CITI) Program</w:t>
        </w:r>
      </w:hyperlink>
      <w:r w:rsidRPr="00273978">
        <w:rPr>
          <w:rFonts w:ascii="Arial" w:hAnsi="Arial" w:cs="Arial"/>
          <w:color w:val="333333"/>
          <w:sz w:val="20"/>
        </w:rPr>
        <w:t> offers a wea</w:t>
      </w:r>
      <w:r w:rsidR="009A5ADA" w:rsidRPr="00273978">
        <w:rPr>
          <w:rFonts w:ascii="Arial" w:hAnsi="Arial" w:cs="Arial"/>
          <w:color w:val="333333"/>
          <w:sz w:val="20"/>
        </w:rPr>
        <w:t>lth of resources on its website</w:t>
      </w:r>
    </w:p>
    <w:sectPr w:rsidR="000C359E" w:rsidRPr="00273978" w:rsidSect="00273978">
      <w:footerReference w:type="default" r:id="rId24"/>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E5616" w14:textId="77777777" w:rsidR="00A36FED" w:rsidRDefault="00A36FED" w:rsidP="000139AC">
      <w:pPr>
        <w:spacing w:after="0" w:line="240" w:lineRule="auto"/>
      </w:pPr>
      <w:r>
        <w:separator/>
      </w:r>
    </w:p>
  </w:endnote>
  <w:endnote w:type="continuationSeparator" w:id="0">
    <w:p w14:paraId="3EC39F5C" w14:textId="77777777" w:rsidR="00A36FED" w:rsidRDefault="00A36FED" w:rsidP="0001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901475"/>
      <w:docPartObj>
        <w:docPartGallery w:val="Page Numbers (Bottom of Page)"/>
        <w:docPartUnique/>
      </w:docPartObj>
    </w:sdtPr>
    <w:sdtEndPr>
      <w:rPr>
        <w:noProof/>
      </w:rPr>
    </w:sdtEndPr>
    <w:sdtContent>
      <w:p w14:paraId="55FA0A52" w14:textId="77777777" w:rsidR="000139AC" w:rsidRDefault="000139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AE133" w14:textId="77777777" w:rsidR="000139AC" w:rsidRDefault="00013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97928" w14:textId="77777777" w:rsidR="00A36FED" w:rsidRDefault="00A36FED" w:rsidP="000139AC">
      <w:pPr>
        <w:spacing w:after="0" w:line="240" w:lineRule="auto"/>
      </w:pPr>
      <w:r>
        <w:separator/>
      </w:r>
    </w:p>
  </w:footnote>
  <w:footnote w:type="continuationSeparator" w:id="0">
    <w:p w14:paraId="5478F302" w14:textId="77777777" w:rsidR="00A36FED" w:rsidRDefault="00A36FED" w:rsidP="00013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E6F"/>
    <w:multiLevelType w:val="multilevel"/>
    <w:tmpl w:val="DCC2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D088C"/>
    <w:multiLevelType w:val="hybridMultilevel"/>
    <w:tmpl w:val="068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3507D"/>
    <w:multiLevelType w:val="hybridMultilevel"/>
    <w:tmpl w:val="3020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556C"/>
    <w:multiLevelType w:val="multilevel"/>
    <w:tmpl w:val="C1DC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62E74"/>
    <w:multiLevelType w:val="hybridMultilevel"/>
    <w:tmpl w:val="EA789482"/>
    <w:lvl w:ilvl="0" w:tplc="E9FC0E4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146FCC"/>
    <w:multiLevelType w:val="hybridMultilevel"/>
    <w:tmpl w:val="7B72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536CF"/>
    <w:multiLevelType w:val="multilevel"/>
    <w:tmpl w:val="E6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26666B"/>
    <w:multiLevelType w:val="hybridMultilevel"/>
    <w:tmpl w:val="DFB0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C0720"/>
    <w:multiLevelType w:val="hybridMultilevel"/>
    <w:tmpl w:val="FF4A4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9F6945"/>
    <w:multiLevelType w:val="hybridMultilevel"/>
    <w:tmpl w:val="6C149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51A3E"/>
    <w:multiLevelType w:val="hybridMultilevel"/>
    <w:tmpl w:val="7694A81E"/>
    <w:lvl w:ilvl="0" w:tplc="2E0255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A687D"/>
    <w:multiLevelType w:val="multilevel"/>
    <w:tmpl w:val="9C4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5"/>
  </w:num>
  <w:num w:numId="6">
    <w:abstractNumId w:val="7"/>
  </w:num>
  <w:num w:numId="7">
    <w:abstractNumId w:val="6"/>
  </w:num>
  <w:num w:numId="8">
    <w:abstractNumId w:val="8"/>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DB"/>
    <w:rsid w:val="000139AC"/>
    <w:rsid w:val="00017C2C"/>
    <w:rsid w:val="00035CF9"/>
    <w:rsid w:val="000454C5"/>
    <w:rsid w:val="000C359E"/>
    <w:rsid w:val="001209F3"/>
    <w:rsid w:val="00154251"/>
    <w:rsid w:val="001745CB"/>
    <w:rsid w:val="00184636"/>
    <w:rsid w:val="001E6819"/>
    <w:rsid w:val="001F1CAD"/>
    <w:rsid w:val="002241C9"/>
    <w:rsid w:val="00247750"/>
    <w:rsid w:val="0027219F"/>
    <w:rsid w:val="00273978"/>
    <w:rsid w:val="002B4C0A"/>
    <w:rsid w:val="00302E86"/>
    <w:rsid w:val="00507073"/>
    <w:rsid w:val="005B061B"/>
    <w:rsid w:val="005C55A4"/>
    <w:rsid w:val="00624DD1"/>
    <w:rsid w:val="006359CB"/>
    <w:rsid w:val="0066463A"/>
    <w:rsid w:val="0068240C"/>
    <w:rsid w:val="006B047F"/>
    <w:rsid w:val="00725896"/>
    <w:rsid w:val="007D0A2E"/>
    <w:rsid w:val="007D6D4E"/>
    <w:rsid w:val="007E36DB"/>
    <w:rsid w:val="007F19D4"/>
    <w:rsid w:val="008E4A01"/>
    <w:rsid w:val="009150DB"/>
    <w:rsid w:val="00932889"/>
    <w:rsid w:val="00934126"/>
    <w:rsid w:val="0096763C"/>
    <w:rsid w:val="009A5ADA"/>
    <w:rsid w:val="00A07FDF"/>
    <w:rsid w:val="00A36FED"/>
    <w:rsid w:val="00A64813"/>
    <w:rsid w:val="00A87BB6"/>
    <w:rsid w:val="00B10955"/>
    <w:rsid w:val="00B4128A"/>
    <w:rsid w:val="00BB1D7E"/>
    <w:rsid w:val="00BC2E29"/>
    <w:rsid w:val="00C13635"/>
    <w:rsid w:val="00C960F7"/>
    <w:rsid w:val="00CC3D94"/>
    <w:rsid w:val="00D23F84"/>
    <w:rsid w:val="00DB7132"/>
    <w:rsid w:val="00DC571B"/>
    <w:rsid w:val="00EA4CAA"/>
    <w:rsid w:val="00EF1A89"/>
    <w:rsid w:val="00EF4A08"/>
    <w:rsid w:val="00F27EF4"/>
    <w:rsid w:val="00F82F4A"/>
    <w:rsid w:val="00FC406F"/>
    <w:rsid w:val="00FF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0C8C"/>
  <w15:chartTrackingRefBased/>
  <w15:docId w15:val="{FB24DB9E-ED75-4167-B9A8-66CB14F5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6DB"/>
    <w:rPr>
      <w:color w:val="0563C1" w:themeColor="hyperlink"/>
      <w:u w:val="single"/>
    </w:rPr>
  </w:style>
  <w:style w:type="character" w:styleId="UnresolvedMention">
    <w:name w:val="Unresolved Mention"/>
    <w:basedOn w:val="DefaultParagraphFont"/>
    <w:uiPriority w:val="99"/>
    <w:semiHidden/>
    <w:unhideWhenUsed/>
    <w:rsid w:val="007E36DB"/>
    <w:rPr>
      <w:color w:val="808080"/>
      <w:shd w:val="clear" w:color="auto" w:fill="E6E6E6"/>
    </w:rPr>
  </w:style>
  <w:style w:type="paragraph" w:styleId="ListParagraph">
    <w:name w:val="List Paragraph"/>
    <w:basedOn w:val="Normal"/>
    <w:uiPriority w:val="34"/>
    <w:qFormat/>
    <w:rsid w:val="007E36DB"/>
    <w:pPr>
      <w:ind w:left="720"/>
      <w:contextualSpacing/>
    </w:pPr>
  </w:style>
  <w:style w:type="character" w:styleId="FollowedHyperlink">
    <w:name w:val="FollowedHyperlink"/>
    <w:basedOn w:val="DefaultParagraphFont"/>
    <w:uiPriority w:val="99"/>
    <w:semiHidden/>
    <w:unhideWhenUsed/>
    <w:rsid w:val="00FC406F"/>
    <w:rPr>
      <w:color w:val="954F72" w:themeColor="followedHyperlink"/>
      <w:u w:val="single"/>
    </w:rPr>
  </w:style>
  <w:style w:type="paragraph" w:styleId="Header">
    <w:name w:val="header"/>
    <w:basedOn w:val="Normal"/>
    <w:link w:val="HeaderChar"/>
    <w:uiPriority w:val="99"/>
    <w:unhideWhenUsed/>
    <w:rsid w:val="00013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9AC"/>
  </w:style>
  <w:style w:type="paragraph" w:styleId="Footer">
    <w:name w:val="footer"/>
    <w:basedOn w:val="Normal"/>
    <w:link w:val="FooterChar"/>
    <w:uiPriority w:val="99"/>
    <w:unhideWhenUsed/>
    <w:rsid w:val="00013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9AC"/>
  </w:style>
  <w:style w:type="paragraph" w:styleId="BalloonText">
    <w:name w:val="Balloon Text"/>
    <w:basedOn w:val="Normal"/>
    <w:link w:val="BalloonTextChar"/>
    <w:uiPriority w:val="99"/>
    <w:semiHidden/>
    <w:unhideWhenUsed/>
    <w:rsid w:val="00174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CB"/>
    <w:rPr>
      <w:rFonts w:ascii="Segoe UI" w:hAnsi="Segoe UI" w:cs="Segoe UI"/>
      <w:sz w:val="18"/>
      <w:szCs w:val="18"/>
    </w:rPr>
  </w:style>
  <w:style w:type="character" w:styleId="CommentReference">
    <w:name w:val="annotation reference"/>
    <w:basedOn w:val="DefaultParagraphFont"/>
    <w:uiPriority w:val="99"/>
    <w:semiHidden/>
    <w:unhideWhenUsed/>
    <w:rsid w:val="001745CB"/>
    <w:rPr>
      <w:sz w:val="16"/>
      <w:szCs w:val="16"/>
    </w:rPr>
  </w:style>
  <w:style w:type="paragraph" w:styleId="CommentText">
    <w:name w:val="annotation text"/>
    <w:basedOn w:val="Normal"/>
    <w:link w:val="CommentTextChar"/>
    <w:uiPriority w:val="99"/>
    <w:semiHidden/>
    <w:unhideWhenUsed/>
    <w:rsid w:val="001745CB"/>
    <w:pPr>
      <w:spacing w:line="240" w:lineRule="auto"/>
    </w:pPr>
    <w:rPr>
      <w:sz w:val="20"/>
      <w:szCs w:val="20"/>
    </w:rPr>
  </w:style>
  <w:style w:type="character" w:customStyle="1" w:styleId="CommentTextChar">
    <w:name w:val="Comment Text Char"/>
    <w:basedOn w:val="DefaultParagraphFont"/>
    <w:link w:val="CommentText"/>
    <w:uiPriority w:val="99"/>
    <w:semiHidden/>
    <w:rsid w:val="001745CB"/>
    <w:rPr>
      <w:sz w:val="20"/>
      <w:szCs w:val="20"/>
    </w:rPr>
  </w:style>
  <w:style w:type="paragraph" w:styleId="CommentSubject">
    <w:name w:val="annotation subject"/>
    <w:basedOn w:val="CommentText"/>
    <w:next w:val="CommentText"/>
    <w:link w:val="CommentSubjectChar"/>
    <w:uiPriority w:val="99"/>
    <w:semiHidden/>
    <w:unhideWhenUsed/>
    <w:rsid w:val="001745CB"/>
    <w:rPr>
      <w:b/>
      <w:bCs/>
    </w:rPr>
  </w:style>
  <w:style w:type="character" w:customStyle="1" w:styleId="CommentSubjectChar">
    <w:name w:val="Comment Subject Char"/>
    <w:basedOn w:val="CommentTextChar"/>
    <w:link w:val="CommentSubject"/>
    <w:uiPriority w:val="99"/>
    <w:semiHidden/>
    <w:rsid w:val="001745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8185">
      <w:bodyDiv w:val="1"/>
      <w:marLeft w:val="0"/>
      <w:marRight w:val="0"/>
      <w:marTop w:val="0"/>
      <w:marBottom w:val="0"/>
      <w:divBdr>
        <w:top w:val="none" w:sz="0" w:space="0" w:color="auto"/>
        <w:left w:val="none" w:sz="0" w:space="0" w:color="auto"/>
        <w:bottom w:val="none" w:sz="0" w:space="0" w:color="auto"/>
        <w:right w:val="none" w:sz="0" w:space="0" w:color="auto"/>
      </w:divBdr>
    </w:div>
    <w:div w:id="906188875">
      <w:bodyDiv w:val="1"/>
      <w:marLeft w:val="0"/>
      <w:marRight w:val="0"/>
      <w:marTop w:val="0"/>
      <w:marBottom w:val="0"/>
      <w:divBdr>
        <w:top w:val="none" w:sz="0" w:space="0" w:color="auto"/>
        <w:left w:val="none" w:sz="0" w:space="0" w:color="auto"/>
        <w:bottom w:val="none" w:sz="0" w:space="0" w:color="auto"/>
        <w:right w:val="none" w:sz="0" w:space="0" w:color="auto"/>
      </w:divBdr>
    </w:div>
    <w:div w:id="1356005923">
      <w:bodyDiv w:val="1"/>
      <w:marLeft w:val="0"/>
      <w:marRight w:val="0"/>
      <w:marTop w:val="0"/>
      <w:marBottom w:val="0"/>
      <w:divBdr>
        <w:top w:val="none" w:sz="0" w:space="0" w:color="auto"/>
        <w:left w:val="none" w:sz="0" w:space="0" w:color="auto"/>
        <w:bottom w:val="none" w:sz="0" w:space="0" w:color="auto"/>
        <w:right w:val="none" w:sz="0" w:space="0" w:color="auto"/>
      </w:divBdr>
    </w:div>
    <w:div w:id="1581794722">
      <w:bodyDiv w:val="1"/>
      <w:marLeft w:val="0"/>
      <w:marRight w:val="0"/>
      <w:marTop w:val="0"/>
      <w:marBottom w:val="0"/>
      <w:divBdr>
        <w:top w:val="none" w:sz="0" w:space="0" w:color="auto"/>
        <w:left w:val="none" w:sz="0" w:space="0" w:color="auto"/>
        <w:bottom w:val="none" w:sz="0" w:space="0" w:color="auto"/>
        <w:right w:val="none" w:sz="0" w:space="0" w:color="auto"/>
      </w:divBdr>
      <w:divsChild>
        <w:div w:id="4518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pitt.edu/ExemptReview2018" TargetMode="External"/><Relationship Id="rId13" Type="http://schemas.openxmlformats.org/officeDocument/2006/relationships/hyperlink" Target="http://www.irb.pitt.edu/ConsentProcessAndForms" TargetMode="External"/><Relationship Id="rId18" Type="http://schemas.openxmlformats.org/officeDocument/2006/relationships/hyperlink" Target="mailto:IRB@memphis.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primr.org/commonrule/" TargetMode="External"/><Relationship Id="rId7" Type="http://schemas.openxmlformats.org/officeDocument/2006/relationships/hyperlink" Target="https://www.ecfr.gov/cgi-bin/retrieveECFR?gp=&amp;SID=83cd09e1c0f5c6937cd9d7513160fc3f&amp;pitd=20180719&amp;n=pt45.1.46&amp;r=PART&amp;ty=HTML" TargetMode="Externa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hyperlink" Target="https://www.ecfr.gov/cgi-bin/retrieveECFR?gp=&amp;SID=83cd09e1c0f5c6937cd9d7513160fc3f&amp;pitd=20180719&amp;n=pt45.1.46&amp;r=PART&amp;ty=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hs.gov/ohrp/sachrp-committee/recommendations/attachment-d-august-2-2017/index.html" TargetMode="External"/><Relationship Id="rId20" Type="http://schemas.openxmlformats.org/officeDocument/2006/relationships/hyperlink" Target="https://www.federalregister.gov/documents/2017/01/19/2017-01058/federal-policy-for-the-protection-of-human-subje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b.pitt.edu/continuing.review"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cfr.gov/cgi-bin/retrieveECFR?gp=&amp;SID=83cd09e1c0f5c6937cd9d7513160fc3f&amp;pitd=20180719&amp;n=pt45.1.46&amp;r=PART&amp;ty=HTML" TargetMode="External"/><Relationship Id="rId23" Type="http://schemas.openxmlformats.org/officeDocument/2006/relationships/hyperlink" Target="https://about.citiprogram.org/en/final-rule-resources/?h=common%20rule" TargetMode="External"/><Relationship Id="rId10" Type="http://schemas.openxmlformats.org/officeDocument/2006/relationships/hyperlink" Target="https://memphis.policytech.com/dotNet/documents/?docid=487&amp;public=true" TargetMode="External"/><Relationship Id="rId19" Type="http://schemas.openxmlformats.org/officeDocument/2006/relationships/hyperlink" Target="https://www.hhs.gov/ohrp/" TargetMode="External"/><Relationship Id="rId4" Type="http://schemas.openxmlformats.org/officeDocument/2006/relationships/webSettings" Target="webSettings.xml"/><Relationship Id="rId9" Type="http://schemas.openxmlformats.org/officeDocument/2006/relationships/hyperlink" Target="https://www.ecfr.gov/cgi-bin/retrieveECFR?gp=&amp;SID=83cd09e1c0f5c6937cd9d7513160fc3f&amp;pitd=20180719&amp;n=pt45.1.46&amp;r=PART&amp;ty=HTML" TargetMode="External"/><Relationship Id="rId14" Type="http://schemas.openxmlformats.org/officeDocument/2006/relationships/hyperlink" Target="https://www.memphis.edu/research/researchers/compliance/irb/cayuse_irb.php" TargetMode="External"/><Relationship Id="rId22" Type="http://schemas.openxmlformats.org/officeDocument/2006/relationships/hyperlink" Target="https://rcs.uoregon.edu/sites/rcs1.uoregon.edu/files/PRIM%26R%20Prim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Watson (kwtson10)</dc:creator>
  <cp:keywords/>
  <dc:description/>
  <cp:lastModifiedBy>Kellie Watson (kwtson10)</cp:lastModifiedBy>
  <cp:revision>3</cp:revision>
  <cp:lastPrinted>2019-01-25T16:40:00Z</cp:lastPrinted>
  <dcterms:created xsi:type="dcterms:W3CDTF">2019-01-29T16:56:00Z</dcterms:created>
  <dcterms:modified xsi:type="dcterms:W3CDTF">2019-01-29T17:22:00Z</dcterms:modified>
</cp:coreProperties>
</file>