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Override PartName="/word/footer6.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sz w:val="26"/>
        </w:rPr>
      </w:pPr>
    </w:p>
    <w:p>
      <w:pPr>
        <w:spacing w:after="0"/>
        <w:rPr>
          <w:rFonts w:ascii="Times New Roman"/>
          <w:sz w:val="26"/>
        </w:rPr>
        <w:sectPr>
          <w:type w:val="continuous"/>
          <w:pgSz w:w="12240" w:h="15840"/>
          <w:pgMar w:top="1500" w:bottom="280" w:left="300" w:right="920"/>
        </w:sectPr>
      </w:pPr>
    </w:p>
    <w:p>
      <w:pPr>
        <w:pStyle w:val="BodyText"/>
        <w:rPr>
          <w:rFonts w:ascii="Times New Roman"/>
          <w:sz w:val="20"/>
        </w:rPr>
      </w:pPr>
    </w:p>
    <w:p>
      <w:pPr>
        <w:pStyle w:val="BodyText"/>
        <w:spacing w:before="10"/>
        <w:rPr>
          <w:rFonts w:ascii="Times New Roman"/>
          <w:sz w:val="10"/>
        </w:rPr>
      </w:pPr>
    </w:p>
    <w:p>
      <w:pPr>
        <w:pStyle w:val="BodyText"/>
        <w:ind w:left="109"/>
        <w:rPr>
          <w:rFonts w:ascii="Times New Roman"/>
          <w:sz w:val="20"/>
        </w:rPr>
      </w:pPr>
      <w:r>
        <w:rPr>
          <w:rFonts w:ascii="Times New Roman"/>
          <w:sz w:val="20"/>
        </w:rPr>
        <w:drawing>
          <wp:inline distT="0" distB="0" distL="0" distR="0">
            <wp:extent cx="1967961" cy="337108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967961" cy="3371088"/>
                    </a:xfrm>
                    <a:prstGeom prst="rect">
                      <a:avLst/>
                    </a:prstGeom>
                  </pic:spPr>
                </pic:pic>
              </a:graphicData>
            </a:graphic>
          </wp:inline>
        </w:drawing>
      </w:r>
      <w:r>
        <w:rPr>
          <w:rFonts w:ascii="Times New Roman"/>
          <w:sz w:val="20"/>
        </w:rPr>
      </w:r>
    </w:p>
    <w:p>
      <w:pPr>
        <w:pStyle w:val="BodyText"/>
        <w:rPr>
          <w:rFonts w:ascii="Times New Roman"/>
          <w:sz w:val="44"/>
        </w:rPr>
      </w:pPr>
    </w:p>
    <w:p>
      <w:pPr>
        <w:pStyle w:val="BodyText"/>
        <w:rPr>
          <w:rFonts w:ascii="Times New Roman"/>
          <w:sz w:val="44"/>
        </w:rPr>
      </w:pPr>
    </w:p>
    <w:p>
      <w:pPr>
        <w:pStyle w:val="BodyText"/>
        <w:rPr>
          <w:rFonts w:ascii="Times New Roman"/>
          <w:sz w:val="44"/>
        </w:rPr>
      </w:pPr>
    </w:p>
    <w:p>
      <w:pPr>
        <w:pStyle w:val="BodyText"/>
        <w:spacing w:before="1"/>
        <w:rPr>
          <w:rFonts w:ascii="Times New Roman"/>
          <w:sz w:val="36"/>
        </w:rPr>
      </w:pPr>
    </w:p>
    <w:p>
      <w:pPr>
        <w:pStyle w:val="Heading1"/>
        <w:spacing w:line="338" w:lineRule="auto"/>
      </w:pPr>
      <w:bookmarkStart w:name="_TOC_250003" w:id="1"/>
      <w:bookmarkEnd w:id="1"/>
      <w:r>
        <w:rPr>
          <w:color w:val="3441B1"/>
        </w:rPr>
        <w:t>School of Social Work</w:t>
      </w:r>
    </w:p>
    <w:p>
      <w:pPr>
        <w:spacing w:before="100"/>
        <w:ind w:left="435" w:right="1431" w:firstLine="385"/>
        <w:jc w:val="center"/>
        <w:rPr>
          <w:b/>
          <w:sz w:val="96"/>
        </w:rPr>
      </w:pPr>
      <w:r>
        <w:rPr/>
        <w:br w:type="column"/>
      </w:r>
      <w:r>
        <w:rPr>
          <w:b/>
          <w:color w:val="3441B1"/>
          <w:sz w:val="96"/>
        </w:rPr>
        <w:t>Student </w:t>
      </w:r>
      <w:r>
        <w:rPr>
          <w:b/>
          <w:color w:val="3441B1"/>
          <w:w w:val="90"/>
          <w:sz w:val="96"/>
        </w:rPr>
        <w:t>Handbook</w:t>
      </w:r>
    </w:p>
    <w:p>
      <w:pPr>
        <w:spacing w:line="268" w:lineRule="auto" w:before="239"/>
        <w:ind w:left="109" w:right="939" w:firstLine="229"/>
        <w:jc w:val="center"/>
        <w:rPr>
          <w:b/>
          <w:sz w:val="96"/>
        </w:rPr>
      </w:pPr>
      <w:r>
        <w:rPr>
          <w:b/>
          <w:color w:val="3441B1"/>
          <w:sz w:val="96"/>
        </w:rPr>
        <w:t>for the Master of Social Work</w:t>
      </w:r>
    </w:p>
    <w:p>
      <w:pPr>
        <w:spacing w:line="954" w:lineRule="exact" w:before="0"/>
        <w:ind w:left="766" w:right="0" w:firstLine="0"/>
        <w:jc w:val="left"/>
        <w:rPr>
          <w:b/>
          <w:sz w:val="96"/>
        </w:rPr>
      </w:pPr>
      <w:r>
        <w:rPr>
          <w:b/>
          <w:color w:val="3441B1"/>
          <w:sz w:val="96"/>
        </w:rPr>
        <w:t>Degree</w:t>
      </w:r>
    </w:p>
    <w:p>
      <w:pPr>
        <w:spacing w:line="290" w:lineRule="auto" w:before="0"/>
        <w:ind w:left="109" w:right="1478" w:firstLine="658"/>
        <w:jc w:val="left"/>
        <w:rPr>
          <w:b/>
          <w:sz w:val="96"/>
        </w:rPr>
      </w:pPr>
      <w:r>
        <w:rPr>
          <w:b/>
          <w:color w:val="3441B1"/>
          <w:sz w:val="96"/>
        </w:rPr>
        <w:t>Program 2019-2020</w:t>
      </w:r>
    </w:p>
    <w:p>
      <w:pPr>
        <w:spacing w:after="0" w:line="290" w:lineRule="auto"/>
        <w:jc w:val="left"/>
        <w:rPr>
          <w:sz w:val="96"/>
        </w:rPr>
        <w:sectPr>
          <w:type w:val="continuous"/>
          <w:pgSz w:w="12240" w:h="15840"/>
          <w:pgMar w:top="1500" w:bottom="280" w:left="300" w:right="920"/>
          <w:cols w:num="2" w:equalWidth="0">
            <w:col w:w="3250" w:space="1993"/>
            <w:col w:w="5777"/>
          </w:cols>
        </w:sectPr>
      </w:pPr>
    </w:p>
    <w:p>
      <w:pPr>
        <w:pStyle w:val="BodyText"/>
        <w:rPr>
          <w:b/>
          <w:sz w:val="20"/>
        </w:rPr>
      </w:pPr>
    </w:p>
    <w:p>
      <w:pPr>
        <w:pStyle w:val="BodyText"/>
        <w:rPr>
          <w:b/>
          <w:sz w:val="20"/>
        </w:rPr>
      </w:pPr>
    </w:p>
    <w:p>
      <w:pPr>
        <w:pStyle w:val="BodyText"/>
        <w:rPr>
          <w:b/>
          <w:sz w:val="16"/>
        </w:rPr>
      </w:pPr>
    </w:p>
    <w:p>
      <w:pPr>
        <w:pStyle w:val="Heading2"/>
        <w:spacing w:before="100"/>
        <w:ind w:left="863" w:right="7868" w:firstLine="1"/>
      </w:pPr>
      <w:r>
        <w:rPr/>
        <w:t>University of Memphis School of Social Work 226 McCord Hall</w:t>
      </w:r>
    </w:p>
    <w:p>
      <w:pPr>
        <w:spacing w:line="292" w:lineRule="exact" w:before="0"/>
        <w:ind w:left="863" w:right="0" w:firstLine="0"/>
        <w:jc w:val="left"/>
        <w:rPr>
          <w:b/>
          <w:sz w:val="24"/>
        </w:rPr>
      </w:pPr>
      <w:r>
        <w:rPr>
          <w:b/>
          <w:sz w:val="24"/>
        </w:rPr>
        <w:t>Memphis, TN 38152</w:t>
      </w:r>
    </w:p>
    <w:p>
      <w:pPr>
        <w:pStyle w:val="BodyText"/>
        <w:rPr>
          <w:b/>
          <w:sz w:val="28"/>
        </w:rPr>
      </w:pPr>
    </w:p>
    <w:p>
      <w:pPr>
        <w:pStyle w:val="BodyText"/>
        <w:spacing w:before="243"/>
        <w:ind w:left="752" w:right="214"/>
      </w:pPr>
      <w:r>
        <w:rPr/>
        <w:t>The governance and control of The University of Memphis is vested in the University of Memphis Board of Trustees, with state coordination by the Tennessee Higher Education Commission (THEC). The composition and powers of the Board are set forth in Tennessee Code Annotated 49-8-101 through 49- 8-303. The UofM Board consists of ten members of which nine members are voting and one member is nonvoting. Eight of the members are appointed by the Governor, one is chosen from among the faculty by the faculty senate and one is a student appointed by the</w:t>
      </w:r>
      <w:r>
        <w:rPr>
          <w:spacing w:val="-4"/>
        </w:rPr>
        <w:t> </w:t>
      </w:r>
      <w:r>
        <w:rPr/>
        <w:t>Board.</w:t>
      </w:r>
    </w:p>
    <w:p>
      <w:pPr>
        <w:pStyle w:val="BodyText"/>
        <w:spacing w:before="11"/>
        <w:rPr>
          <w:sz w:val="23"/>
        </w:rPr>
      </w:pPr>
    </w:p>
    <w:p>
      <w:pPr>
        <w:pStyle w:val="BodyText"/>
        <w:ind w:left="752" w:right="188"/>
      </w:pPr>
      <w:r>
        <w:rPr/>
        <w:t>The University of Memphis offers equal opportunity to all persons without regard to race, religion, sex, creed, color, national origin or disability. The University does not discriminate on these bases in recruitment and admission of students or in the operation of its programs and activities, as specified by federal laws and regulations. Designated coordinators for University compliance with Section 504 of the Rehabilitation Act of 1973 and the Americans with Disabilities Act of 1990 are the Vice President for Student Affairs and the Equal Opportunity Compliance Officer. Information in this document will be provided in alternate format upon request. The University of Memphis is an Equal Opportunity/Affirmative Action University. It is committed to education of a non-racially identifiable student body.</w:t>
      </w:r>
    </w:p>
    <w:p>
      <w:pPr>
        <w:spacing w:after="0"/>
        <w:sectPr>
          <w:pgSz w:w="12240" w:h="15840"/>
          <w:pgMar w:top="1500" w:bottom="280" w:left="300" w:right="920"/>
        </w:sectPr>
      </w:pPr>
    </w:p>
    <w:p>
      <w:pPr>
        <w:spacing w:line="338" w:lineRule="auto" w:before="70"/>
        <w:ind w:left="3781" w:right="3130" w:firstLine="0"/>
        <w:jc w:val="center"/>
        <w:rPr>
          <w:b/>
          <w:sz w:val="48"/>
        </w:rPr>
      </w:pPr>
      <w:r>
        <w:rPr>
          <w:b/>
          <w:color w:val="3441B1"/>
          <w:sz w:val="48"/>
        </w:rPr>
        <w:t>Student Handbook for the</w:t>
      </w:r>
    </w:p>
    <w:p>
      <w:pPr>
        <w:spacing w:line="576" w:lineRule="auto" w:before="9"/>
        <w:ind w:left="3049" w:right="2403" w:firstLine="0"/>
        <w:jc w:val="center"/>
        <w:rPr>
          <w:b/>
          <w:sz w:val="48"/>
        </w:rPr>
      </w:pPr>
      <w:r>
        <w:rPr>
          <w:b/>
          <w:color w:val="3441B1"/>
          <w:spacing w:val="13"/>
          <w:sz w:val="48"/>
        </w:rPr>
        <w:t>Master </w:t>
      </w:r>
      <w:r>
        <w:rPr>
          <w:b/>
          <w:color w:val="3441B1"/>
          <w:spacing w:val="4"/>
          <w:sz w:val="48"/>
        </w:rPr>
        <w:t>of </w:t>
      </w:r>
      <w:r>
        <w:rPr>
          <w:b/>
          <w:color w:val="3441B1"/>
          <w:spacing w:val="12"/>
          <w:sz w:val="48"/>
        </w:rPr>
        <w:t>Social </w:t>
      </w:r>
      <w:r>
        <w:rPr>
          <w:b/>
          <w:color w:val="3441B1"/>
          <w:spacing w:val="15"/>
          <w:sz w:val="48"/>
        </w:rPr>
        <w:t>Work </w:t>
      </w:r>
      <w:r>
        <w:rPr>
          <w:b/>
          <w:color w:val="3441B1"/>
          <w:spacing w:val="12"/>
          <w:sz w:val="48"/>
        </w:rPr>
        <w:t>Table </w:t>
      </w:r>
      <w:r>
        <w:rPr>
          <w:b/>
          <w:color w:val="3441B1"/>
          <w:spacing w:val="4"/>
          <w:sz w:val="48"/>
        </w:rPr>
        <w:t>of</w:t>
      </w:r>
      <w:r>
        <w:rPr>
          <w:b/>
          <w:color w:val="3441B1"/>
          <w:spacing w:val="93"/>
          <w:sz w:val="48"/>
        </w:rPr>
        <w:t> </w:t>
      </w:r>
      <w:r>
        <w:rPr>
          <w:b/>
          <w:color w:val="3441B1"/>
          <w:spacing w:val="15"/>
          <w:sz w:val="48"/>
        </w:rPr>
        <w:t>Contents</w:t>
      </w:r>
    </w:p>
    <w:sdt>
      <w:sdtPr>
        <w:docPartObj>
          <w:docPartGallery w:val="Table of Contents"/>
          <w:docPartUnique/>
        </w:docPartObj>
      </w:sdtPr>
      <w:sdtEndPr/>
      <w:sdtContent>
        <w:p>
          <w:pPr>
            <w:pStyle w:val="TOC1"/>
            <w:tabs>
              <w:tab w:pos="10507" w:val="right" w:leader="dot"/>
            </w:tabs>
            <w:spacing w:before="353"/>
            <w:ind w:left="865"/>
          </w:pPr>
          <w:r>
            <w:rPr>
              <w:spacing w:val="8"/>
            </w:rPr>
            <w:t>The </w:t>
          </w:r>
          <w:r>
            <w:rPr>
              <w:spacing w:val="15"/>
            </w:rPr>
            <w:t>University </w:t>
          </w:r>
          <w:r>
            <w:rPr>
              <w:spacing w:val="30"/>
            </w:rPr>
            <w:t> </w:t>
          </w:r>
          <w:r>
            <w:rPr>
              <w:spacing w:val="5"/>
            </w:rPr>
            <w:t>of</w:t>
          </w:r>
          <w:r>
            <w:rPr>
              <w:spacing w:val="48"/>
            </w:rPr>
            <w:t> </w:t>
          </w:r>
          <w:r>
            <w:rPr>
              <w:spacing w:val="19"/>
            </w:rPr>
            <w:t>Memphis…</w:t>
            <w:tab/>
          </w:r>
          <w:r>
            <w:rPr>
              <w:spacing w:val="20"/>
            </w:rPr>
            <w:t>01</w:t>
          </w:r>
        </w:p>
        <w:p>
          <w:pPr>
            <w:pStyle w:val="TOC1"/>
            <w:tabs>
              <w:tab w:pos="10487" w:val="right" w:leader="dot"/>
            </w:tabs>
          </w:pPr>
          <w:hyperlink w:history="true" w:anchor="_TOC_250003">
            <w:r>
              <w:rPr>
                <w:spacing w:val="14"/>
              </w:rPr>
              <w:t>School </w:t>
            </w:r>
            <w:r>
              <w:rPr>
                <w:spacing w:val="5"/>
              </w:rPr>
              <w:t>of </w:t>
            </w:r>
            <w:r>
              <w:rPr>
                <w:spacing w:val="30"/>
              </w:rPr>
              <w:t> </w:t>
            </w:r>
            <w:r>
              <w:rPr>
                <w:spacing w:val="13"/>
              </w:rPr>
              <w:t>Social</w:t>
            </w:r>
            <w:r>
              <w:rPr>
                <w:spacing w:val="54"/>
              </w:rPr>
              <w:t> </w:t>
            </w:r>
            <w:r>
              <w:rPr>
                <w:spacing w:val="13"/>
              </w:rPr>
              <w:t>Work</w:t>
              <w:tab/>
            </w:r>
            <w:r>
              <w:rPr>
                <w:spacing w:val="10"/>
              </w:rPr>
              <w:t>04</w:t>
            </w:r>
          </w:hyperlink>
        </w:p>
        <w:p>
          <w:pPr>
            <w:pStyle w:val="TOC1"/>
            <w:tabs>
              <w:tab w:pos="10487" w:val="right" w:leader="dot"/>
            </w:tabs>
            <w:spacing w:before="292"/>
          </w:pPr>
          <w:r>
            <w:rPr>
              <w:spacing w:val="17"/>
            </w:rPr>
            <w:t>Admissions</w:t>
            <w:tab/>
          </w:r>
          <w:r>
            <w:rPr>
              <w:spacing w:val="10"/>
            </w:rPr>
            <w:t>06</w:t>
          </w:r>
        </w:p>
        <w:p>
          <w:pPr>
            <w:pStyle w:val="TOC1"/>
            <w:tabs>
              <w:tab w:pos="10487" w:val="right" w:leader="dot"/>
            </w:tabs>
          </w:pPr>
          <w:r>
            <w:rPr>
              <w:spacing w:val="15"/>
            </w:rPr>
            <w:t>Financial</w:t>
          </w:r>
          <w:r>
            <w:rPr>
              <w:spacing w:val="54"/>
            </w:rPr>
            <w:t> </w:t>
          </w:r>
          <w:r>
            <w:rPr>
              <w:spacing w:val="20"/>
            </w:rPr>
            <w:t>Aid</w:t>
            <w:tab/>
          </w:r>
          <w:r>
            <w:rPr>
              <w:spacing w:val="10"/>
            </w:rPr>
            <w:t>09</w:t>
          </w:r>
        </w:p>
        <w:p>
          <w:pPr>
            <w:pStyle w:val="TOC1"/>
            <w:tabs>
              <w:tab w:pos="10496" w:val="right" w:leader="dot"/>
            </w:tabs>
          </w:pPr>
          <w:hyperlink w:history="true" w:anchor="_TOC_250002">
            <w:r>
              <w:rPr/>
              <w:t>Graduate Program Requirements</w:t>
              <w:tab/>
              <w:t>10</w:t>
            </w:r>
          </w:hyperlink>
        </w:p>
        <w:p>
          <w:pPr>
            <w:pStyle w:val="TOC1"/>
            <w:tabs>
              <w:tab w:pos="10507" w:val="right" w:leader="dot"/>
            </w:tabs>
            <w:spacing w:before="292"/>
          </w:pPr>
          <w:hyperlink w:history="true" w:anchor="_TOC_250001">
            <w:r>
              <w:rPr>
                <w:spacing w:val="20"/>
              </w:rPr>
              <w:t>Field</w:t>
              <w:tab/>
              <w:t>19</w:t>
            </w:r>
          </w:hyperlink>
        </w:p>
        <w:p>
          <w:pPr>
            <w:pStyle w:val="TOC1"/>
            <w:tabs>
              <w:tab w:pos="10487" w:val="right" w:leader="dot"/>
            </w:tabs>
          </w:pPr>
          <w:hyperlink w:history="true" w:anchor="_TOC_250000">
            <w:r>
              <w:rPr>
                <w:spacing w:val="14"/>
              </w:rPr>
              <w:t>Policies</w:t>
            </w:r>
            <w:r>
              <w:rPr>
                <w:spacing w:val="56"/>
              </w:rPr>
              <w:t> </w:t>
            </w:r>
            <w:r>
              <w:rPr/>
              <w:t>&amp;</w:t>
            </w:r>
            <w:r>
              <w:rPr>
                <w:spacing w:val="38"/>
              </w:rPr>
              <w:t> </w:t>
            </w:r>
            <w:r>
              <w:rPr>
                <w:spacing w:val="18"/>
              </w:rPr>
              <w:t>Procedures…</w:t>
              <w:tab/>
            </w:r>
            <w:r>
              <w:rPr>
                <w:spacing w:val="10"/>
              </w:rPr>
              <w:t>21</w:t>
            </w:r>
          </w:hyperlink>
        </w:p>
        <w:p>
          <w:pPr>
            <w:pStyle w:val="TOC1"/>
            <w:tabs>
              <w:tab w:pos="10507" w:val="right" w:leader="dot"/>
            </w:tabs>
          </w:pPr>
          <w:r>
            <w:rPr>
              <w:spacing w:val="14"/>
            </w:rPr>
            <w:t>Student</w:t>
          </w:r>
          <w:r>
            <w:rPr>
              <w:spacing w:val="55"/>
            </w:rPr>
            <w:t> </w:t>
          </w:r>
          <w:r>
            <w:rPr>
              <w:spacing w:val="18"/>
            </w:rPr>
            <w:t>Organizations…</w:t>
            <w:tab/>
          </w:r>
          <w:r>
            <w:rPr>
              <w:spacing w:val="20"/>
            </w:rPr>
            <w:t>36</w:t>
          </w:r>
        </w:p>
        <w:p>
          <w:pPr>
            <w:pStyle w:val="TOC1"/>
            <w:tabs>
              <w:tab w:pos="10508" w:val="right" w:leader="dot"/>
            </w:tabs>
            <w:spacing w:before="292"/>
          </w:pPr>
          <w:r>
            <w:rPr>
              <w:spacing w:val="15"/>
            </w:rPr>
            <w:t>Professional</w:t>
          </w:r>
          <w:r>
            <w:rPr>
              <w:spacing w:val="58"/>
            </w:rPr>
            <w:t> </w:t>
          </w:r>
          <w:r>
            <w:rPr>
              <w:spacing w:val="18"/>
            </w:rPr>
            <w:t>Organizations…</w:t>
            <w:tab/>
          </w:r>
          <w:r>
            <w:rPr>
              <w:spacing w:val="20"/>
            </w:rPr>
            <w:t>36</w:t>
          </w:r>
        </w:p>
        <w:p>
          <w:pPr>
            <w:pStyle w:val="TOC1"/>
            <w:tabs>
              <w:tab w:pos="10497" w:val="right" w:leader="dot"/>
            </w:tabs>
          </w:pPr>
          <w:r>
            <w:rPr>
              <w:spacing w:val="17"/>
            </w:rPr>
            <w:t>Communication</w:t>
            <w:tab/>
          </w:r>
          <w:r>
            <w:rPr>
              <w:spacing w:val="20"/>
            </w:rPr>
            <w:t>37</w:t>
          </w:r>
        </w:p>
        <w:p>
          <w:pPr>
            <w:pStyle w:val="TOC1"/>
            <w:tabs>
              <w:tab w:pos="10508" w:val="right" w:leader="dot"/>
            </w:tabs>
            <w:spacing w:before="292"/>
          </w:pPr>
          <w:r>
            <w:rPr>
              <w:spacing w:val="16"/>
            </w:rPr>
            <w:t>Campus</w:t>
          </w:r>
          <w:r>
            <w:rPr>
              <w:spacing w:val="39"/>
            </w:rPr>
            <w:t> </w:t>
          </w:r>
          <w:r>
            <w:rPr>
              <w:spacing w:val="19"/>
            </w:rPr>
            <w:t>Services</w:t>
            <w:tab/>
          </w:r>
          <w:r>
            <w:rPr>
              <w:spacing w:val="20"/>
            </w:rPr>
            <w:t>38</w:t>
          </w:r>
        </w:p>
        <w:p>
          <w:pPr>
            <w:pStyle w:val="TOC1"/>
            <w:tabs>
              <w:tab w:pos="10487" w:val="right" w:leader="dot"/>
            </w:tabs>
          </w:pPr>
          <w:r>
            <w:rPr>
              <w:spacing w:val="12"/>
            </w:rPr>
            <w:t>Course</w:t>
          </w:r>
          <w:r>
            <w:rPr>
              <w:spacing w:val="57"/>
            </w:rPr>
            <w:t> </w:t>
          </w:r>
          <w:r>
            <w:rPr>
              <w:spacing w:val="18"/>
            </w:rPr>
            <w:t>Descriptions…</w:t>
            <w:tab/>
          </w:r>
          <w:r>
            <w:rPr>
              <w:spacing w:val="10"/>
            </w:rPr>
            <w:t>43</w:t>
          </w:r>
        </w:p>
        <w:p>
          <w:pPr>
            <w:pStyle w:val="TOC1"/>
            <w:tabs>
              <w:tab w:pos="10471" w:val="right" w:leader="dot"/>
            </w:tabs>
          </w:pPr>
          <w:r>
            <w:rPr>
              <w:spacing w:val="18"/>
            </w:rPr>
            <w:t>Appendices:</w:t>
          </w:r>
          <w:r>
            <w:rPr>
              <w:spacing w:val="39"/>
            </w:rPr>
            <w:t> </w:t>
          </w:r>
          <w:r>
            <w:rPr>
              <w:spacing w:val="16"/>
            </w:rPr>
            <w:t>Degree</w:t>
          </w:r>
          <w:r>
            <w:rPr>
              <w:spacing w:val="39"/>
            </w:rPr>
            <w:t> </w:t>
          </w:r>
          <w:r>
            <w:rPr>
              <w:spacing w:val="19"/>
            </w:rPr>
            <w:t>Plans</w:t>
            <w:tab/>
          </w:r>
          <w:r>
            <w:rPr>
              <w:spacing w:val="10"/>
            </w:rPr>
            <w:t>47</w:t>
          </w:r>
        </w:p>
      </w:sdtContent>
    </w:sdt>
    <w:p>
      <w:pPr>
        <w:spacing w:after="0"/>
        <w:sectPr>
          <w:pgSz w:w="12240" w:h="15840"/>
          <w:pgMar w:top="1380" w:bottom="280" w:left="300" w:right="920"/>
        </w:sectPr>
      </w:pPr>
    </w:p>
    <w:p>
      <w:pPr>
        <w:pStyle w:val="Heading2"/>
        <w:spacing w:before="87"/>
        <w:ind w:left="748"/>
      </w:pPr>
      <w:r>
        <w:rPr>
          <w:color w:val="1F497C"/>
        </w:rPr>
        <w:t>THE UNIVERSITY OF MEMPHIS MISSION</w:t>
      </w:r>
    </w:p>
    <w:p>
      <w:pPr>
        <w:pStyle w:val="BodyText"/>
        <w:spacing w:before="100"/>
        <w:ind w:left="859" w:right="211"/>
        <w:jc w:val="both"/>
      </w:pPr>
      <w:r>
        <w:rPr/>
        <w:t>The University of Memphis is a learner-centered metropolitan research university providing high quality educational experiences while pursuing new knowledge through research, artistic expression, and interdisciplinary and engaged scholarship. A doctoral degree-granting urban research university, The University of Memphis is committed to excellence in undergraduate, graduate, and professional education;</w:t>
      </w:r>
      <w:r>
        <w:rPr>
          <w:spacing w:val="-12"/>
        </w:rPr>
        <w:t> </w:t>
      </w:r>
      <w:r>
        <w:rPr/>
        <w:t>in</w:t>
      </w:r>
      <w:r>
        <w:rPr>
          <w:spacing w:val="-12"/>
        </w:rPr>
        <w:t> </w:t>
      </w:r>
      <w:r>
        <w:rPr/>
        <w:t>the</w:t>
      </w:r>
      <w:r>
        <w:rPr>
          <w:spacing w:val="-12"/>
        </w:rPr>
        <w:t> </w:t>
      </w:r>
      <w:r>
        <w:rPr/>
        <w:t>discovery</w:t>
      </w:r>
      <w:r>
        <w:rPr>
          <w:spacing w:val="-12"/>
        </w:rPr>
        <w:t> </w:t>
      </w:r>
      <w:r>
        <w:rPr/>
        <w:t>and</w:t>
      </w:r>
      <w:r>
        <w:rPr>
          <w:spacing w:val="-12"/>
        </w:rPr>
        <w:t> </w:t>
      </w:r>
      <w:r>
        <w:rPr/>
        <w:t>dissemination</w:t>
      </w:r>
      <w:r>
        <w:rPr>
          <w:spacing w:val="-12"/>
        </w:rPr>
        <w:t> </w:t>
      </w:r>
      <w:r>
        <w:rPr/>
        <w:t>of</w:t>
      </w:r>
      <w:r>
        <w:rPr>
          <w:spacing w:val="-12"/>
        </w:rPr>
        <w:t> </w:t>
      </w:r>
      <w:r>
        <w:rPr/>
        <w:t>knowledge;</w:t>
      </w:r>
      <w:r>
        <w:rPr>
          <w:spacing w:val="-12"/>
        </w:rPr>
        <w:t> </w:t>
      </w:r>
      <w:r>
        <w:rPr/>
        <w:t>in</w:t>
      </w:r>
      <w:r>
        <w:rPr>
          <w:spacing w:val="-12"/>
        </w:rPr>
        <w:t> </w:t>
      </w:r>
      <w:r>
        <w:rPr/>
        <w:t>service</w:t>
      </w:r>
      <w:r>
        <w:rPr>
          <w:spacing w:val="-12"/>
        </w:rPr>
        <w:t> </w:t>
      </w:r>
      <w:r>
        <w:rPr/>
        <w:t>to</w:t>
      </w:r>
      <w:r>
        <w:rPr>
          <w:spacing w:val="-12"/>
        </w:rPr>
        <w:t> </w:t>
      </w:r>
      <w:r>
        <w:rPr/>
        <w:t>the</w:t>
      </w:r>
      <w:r>
        <w:rPr>
          <w:spacing w:val="-12"/>
        </w:rPr>
        <w:t> </w:t>
      </w:r>
      <w:r>
        <w:rPr/>
        <w:t>metropolitan</w:t>
      </w:r>
      <w:r>
        <w:rPr>
          <w:spacing w:val="-12"/>
        </w:rPr>
        <w:t> </w:t>
      </w:r>
      <w:r>
        <w:rPr/>
        <w:t>community, the</w:t>
      </w:r>
      <w:r>
        <w:rPr>
          <w:spacing w:val="-6"/>
        </w:rPr>
        <w:t> </w:t>
      </w:r>
      <w:r>
        <w:rPr/>
        <w:t>state,</w:t>
      </w:r>
      <w:r>
        <w:rPr>
          <w:spacing w:val="-6"/>
        </w:rPr>
        <w:t> </w:t>
      </w:r>
      <w:r>
        <w:rPr/>
        <w:t>and</w:t>
      </w:r>
      <w:r>
        <w:rPr>
          <w:spacing w:val="-5"/>
        </w:rPr>
        <w:t> </w:t>
      </w:r>
      <w:r>
        <w:rPr/>
        <w:t>the</w:t>
      </w:r>
      <w:r>
        <w:rPr>
          <w:spacing w:val="-6"/>
        </w:rPr>
        <w:t> </w:t>
      </w:r>
      <w:r>
        <w:rPr/>
        <w:t>nation;</w:t>
      </w:r>
      <w:r>
        <w:rPr>
          <w:spacing w:val="-5"/>
        </w:rPr>
        <w:t> </w:t>
      </w:r>
      <w:r>
        <w:rPr/>
        <w:t>and</w:t>
      </w:r>
      <w:r>
        <w:rPr>
          <w:spacing w:val="-6"/>
        </w:rPr>
        <w:t> </w:t>
      </w:r>
      <w:r>
        <w:rPr/>
        <w:t>in</w:t>
      </w:r>
      <w:r>
        <w:rPr>
          <w:spacing w:val="-5"/>
        </w:rPr>
        <w:t> </w:t>
      </w:r>
      <w:r>
        <w:rPr/>
        <w:t>preparation</w:t>
      </w:r>
      <w:r>
        <w:rPr>
          <w:spacing w:val="-6"/>
        </w:rPr>
        <w:t> </w:t>
      </w:r>
      <w:r>
        <w:rPr/>
        <w:t>of</w:t>
      </w:r>
      <w:r>
        <w:rPr>
          <w:spacing w:val="-5"/>
        </w:rPr>
        <w:t> </w:t>
      </w:r>
      <w:r>
        <w:rPr/>
        <w:t>a</w:t>
      </w:r>
      <w:r>
        <w:rPr>
          <w:spacing w:val="-6"/>
        </w:rPr>
        <w:t> </w:t>
      </w:r>
      <w:r>
        <w:rPr/>
        <w:t>diverse</w:t>
      </w:r>
      <w:r>
        <w:rPr>
          <w:spacing w:val="-6"/>
        </w:rPr>
        <w:t> </w:t>
      </w:r>
      <w:r>
        <w:rPr/>
        <w:t>student</w:t>
      </w:r>
      <w:r>
        <w:rPr>
          <w:spacing w:val="-5"/>
        </w:rPr>
        <w:t> </w:t>
      </w:r>
      <w:r>
        <w:rPr/>
        <w:t>population</w:t>
      </w:r>
      <w:r>
        <w:rPr>
          <w:spacing w:val="-6"/>
        </w:rPr>
        <w:t> </w:t>
      </w:r>
      <w:r>
        <w:rPr/>
        <w:t>for</w:t>
      </w:r>
      <w:r>
        <w:rPr>
          <w:spacing w:val="-5"/>
        </w:rPr>
        <w:t> </w:t>
      </w:r>
      <w:r>
        <w:rPr/>
        <w:t>successful</w:t>
      </w:r>
      <w:r>
        <w:rPr>
          <w:spacing w:val="-6"/>
        </w:rPr>
        <w:t> </w:t>
      </w:r>
      <w:r>
        <w:rPr/>
        <w:t>careers</w:t>
      </w:r>
      <w:r>
        <w:rPr>
          <w:spacing w:val="-5"/>
        </w:rPr>
        <w:t> </w:t>
      </w:r>
      <w:r>
        <w:rPr/>
        <w:t>and meaningful participation in a global society. The University of Memphis remains committed to the education</w:t>
      </w:r>
      <w:r>
        <w:rPr>
          <w:spacing w:val="-8"/>
        </w:rPr>
        <w:t> </w:t>
      </w:r>
      <w:r>
        <w:rPr/>
        <w:t>of</w:t>
      </w:r>
      <w:r>
        <w:rPr>
          <w:spacing w:val="-8"/>
        </w:rPr>
        <w:t> </w:t>
      </w:r>
      <w:r>
        <w:rPr/>
        <w:t>a</w:t>
      </w:r>
      <w:r>
        <w:rPr>
          <w:spacing w:val="-8"/>
        </w:rPr>
        <w:t> </w:t>
      </w:r>
      <w:r>
        <w:rPr/>
        <w:t>non-racially</w:t>
      </w:r>
      <w:r>
        <w:rPr>
          <w:spacing w:val="-8"/>
        </w:rPr>
        <w:t> </w:t>
      </w:r>
      <w:r>
        <w:rPr/>
        <w:t>identifiable</w:t>
      </w:r>
      <w:r>
        <w:rPr>
          <w:spacing w:val="-8"/>
        </w:rPr>
        <w:t> </w:t>
      </w:r>
      <w:r>
        <w:rPr/>
        <w:t>student</w:t>
      </w:r>
      <w:r>
        <w:rPr>
          <w:spacing w:val="-8"/>
        </w:rPr>
        <w:t> </w:t>
      </w:r>
      <w:r>
        <w:rPr/>
        <w:t>body</w:t>
      </w:r>
      <w:r>
        <w:rPr>
          <w:spacing w:val="-8"/>
        </w:rPr>
        <w:t> </w:t>
      </w:r>
      <w:r>
        <w:rPr/>
        <w:t>and</w:t>
      </w:r>
      <w:r>
        <w:rPr>
          <w:spacing w:val="-8"/>
        </w:rPr>
        <w:t> </w:t>
      </w:r>
      <w:r>
        <w:rPr/>
        <w:t>promotes</w:t>
      </w:r>
      <w:r>
        <w:rPr>
          <w:spacing w:val="-7"/>
        </w:rPr>
        <w:t> </w:t>
      </w:r>
      <w:r>
        <w:rPr/>
        <w:t>diversity</w:t>
      </w:r>
      <w:r>
        <w:rPr>
          <w:spacing w:val="-8"/>
        </w:rPr>
        <w:t> </w:t>
      </w:r>
      <w:r>
        <w:rPr/>
        <w:t>and</w:t>
      </w:r>
      <w:r>
        <w:rPr>
          <w:spacing w:val="-8"/>
        </w:rPr>
        <w:t> </w:t>
      </w:r>
      <w:r>
        <w:rPr/>
        <w:t>access</w:t>
      </w:r>
      <w:r>
        <w:rPr>
          <w:spacing w:val="-8"/>
        </w:rPr>
        <w:t> </w:t>
      </w:r>
      <w:r>
        <w:rPr/>
        <w:t>without</w:t>
      </w:r>
      <w:r>
        <w:rPr>
          <w:spacing w:val="-8"/>
        </w:rPr>
        <w:t> </w:t>
      </w:r>
      <w:r>
        <w:rPr/>
        <w:t>regard to race, gender, religion, national origin, age, disability, or veteran</w:t>
      </w:r>
      <w:r>
        <w:rPr>
          <w:spacing w:val="-2"/>
        </w:rPr>
        <w:t> </w:t>
      </w:r>
      <w:r>
        <w:rPr/>
        <w:t>status.</w:t>
      </w:r>
    </w:p>
    <w:p>
      <w:pPr>
        <w:pStyle w:val="BodyText"/>
        <w:rPr>
          <w:sz w:val="28"/>
        </w:rPr>
      </w:pPr>
    </w:p>
    <w:p>
      <w:pPr>
        <w:pStyle w:val="BodyText"/>
        <w:spacing w:before="2"/>
        <w:rPr>
          <w:sz w:val="35"/>
        </w:rPr>
      </w:pPr>
    </w:p>
    <w:p>
      <w:pPr>
        <w:pStyle w:val="Heading2"/>
        <w:ind w:left="859"/>
      </w:pPr>
      <w:r>
        <w:rPr>
          <w:color w:val="1F497C"/>
        </w:rPr>
        <w:t>THE COLLEGE OF ARTS AND SCIENCES MISSION</w:t>
      </w:r>
    </w:p>
    <w:p>
      <w:pPr>
        <w:pStyle w:val="BodyText"/>
        <w:spacing w:before="240"/>
        <w:ind w:left="859" w:right="210"/>
        <w:jc w:val="both"/>
      </w:pPr>
      <w:r>
        <w:rPr/>
        <w:t>The</w:t>
      </w:r>
      <w:r>
        <w:rPr>
          <w:spacing w:val="-3"/>
        </w:rPr>
        <w:t> </w:t>
      </w:r>
      <w:r>
        <w:rPr/>
        <w:t>School</w:t>
      </w:r>
      <w:r>
        <w:rPr>
          <w:spacing w:val="-2"/>
        </w:rPr>
        <w:t> </w:t>
      </w:r>
      <w:r>
        <w:rPr/>
        <w:t>of</w:t>
      </w:r>
      <w:r>
        <w:rPr>
          <w:spacing w:val="-2"/>
        </w:rPr>
        <w:t> </w:t>
      </w:r>
      <w:r>
        <w:rPr/>
        <w:t>Social</w:t>
      </w:r>
      <w:r>
        <w:rPr>
          <w:spacing w:val="-3"/>
        </w:rPr>
        <w:t> </w:t>
      </w:r>
      <w:r>
        <w:rPr/>
        <w:t>Work</w:t>
      </w:r>
      <w:r>
        <w:rPr>
          <w:spacing w:val="-3"/>
        </w:rPr>
        <w:t> </w:t>
      </w:r>
      <w:r>
        <w:rPr/>
        <w:t>at</w:t>
      </w:r>
      <w:r>
        <w:rPr>
          <w:spacing w:val="-2"/>
        </w:rPr>
        <w:t> </w:t>
      </w:r>
      <w:r>
        <w:rPr/>
        <w:t>the</w:t>
      </w:r>
      <w:r>
        <w:rPr>
          <w:spacing w:val="-3"/>
        </w:rPr>
        <w:t> </w:t>
      </w:r>
      <w:r>
        <w:rPr/>
        <w:t>University</w:t>
      </w:r>
      <w:r>
        <w:rPr>
          <w:spacing w:val="-2"/>
        </w:rPr>
        <w:t> </w:t>
      </w:r>
      <w:r>
        <w:rPr/>
        <w:t>of</w:t>
      </w:r>
      <w:r>
        <w:rPr>
          <w:spacing w:val="-3"/>
        </w:rPr>
        <w:t> </w:t>
      </w:r>
      <w:r>
        <w:rPr/>
        <w:t>Memphis</w:t>
      </w:r>
      <w:r>
        <w:rPr>
          <w:spacing w:val="-3"/>
        </w:rPr>
        <w:t> </w:t>
      </w:r>
      <w:r>
        <w:rPr/>
        <w:t>is</w:t>
      </w:r>
      <w:r>
        <w:rPr>
          <w:spacing w:val="-2"/>
        </w:rPr>
        <w:t> </w:t>
      </w:r>
      <w:r>
        <w:rPr/>
        <w:t>part</w:t>
      </w:r>
      <w:r>
        <w:rPr>
          <w:spacing w:val="-3"/>
        </w:rPr>
        <w:t> </w:t>
      </w:r>
      <w:r>
        <w:rPr/>
        <w:t>of</w:t>
      </w:r>
      <w:r>
        <w:rPr>
          <w:spacing w:val="-2"/>
        </w:rPr>
        <w:t> </w:t>
      </w:r>
      <w:r>
        <w:rPr/>
        <w:t>the</w:t>
      </w:r>
      <w:r>
        <w:rPr>
          <w:spacing w:val="-3"/>
        </w:rPr>
        <w:t> </w:t>
      </w:r>
      <w:r>
        <w:rPr/>
        <w:t>College</w:t>
      </w:r>
      <w:r>
        <w:rPr>
          <w:spacing w:val="-3"/>
        </w:rPr>
        <w:t> </w:t>
      </w:r>
      <w:r>
        <w:rPr/>
        <w:t>of</w:t>
      </w:r>
      <w:r>
        <w:rPr>
          <w:spacing w:val="-2"/>
        </w:rPr>
        <w:t> </w:t>
      </w:r>
      <w:r>
        <w:rPr/>
        <w:t>Arts</w:t>
      </w:r>
      <w:r>
        <w:rPr>
          <w:spacing w:val="-3"/>
        </w:rPr>
        <w:t> </w:t>
      </w:r>
      <w:r>
        <w:rPr/>
        <w:t>and</w:t>
      </w:r>
      <w:r>
        <w:rPr>
          <w:spacing w:val="-3"/>
        </w:rPr>
        <w:t> </w:t>
      </w:r>
      <w:r>
        <w:rPr/>
        <w:t>Sciences.</w:t>
      </w:r>
      <w:r>
        <w:rPr>
          <w:spacing w:val="-2"/>
        </w:rPr>
        <w:t> </w:t>
      </w:r>
      <w:r>
        <w:rPr/>
        <w:t>The College</w:t>
      </w:r>
      <w:r>
        <w:rPr>
          <w:spacing w:val="-12"/>
        </w:rPr>
        <w:t> </w:t>
      </w:r>
      <w:r>
        <w:rPr/>
        <w:t>of</w:t>
      </w:r>
      <w:r>
        <w:rPr>
          <w:spacing w:val="-11"/>
        </w:rPr>
        <w:t> </w:t>
      </w:r>
      <w:r>
        <w:rPr/>
        <w:t>Arts</w:t>
      </w:r>
      <w:r>
        <w:rPr>
          <w:spacing w:val="-12"/>
        </w:rPr>
        <w:t> </w:t>
      </w:r>
      <w:r>
        <w:rPr/>
        <w:t>and</w:t>
      </w:r>
      <w:r>
        <w:rPr>
          <w:spacing w:val="-11"/>
        </w:rPr>
        <w:t> </w:t>
      </w:r>
      <w:r>
        <w:rPr/>
        <w:t>Sciences</w:t>
      </w:r>
      <w:r>
        <w:rPr>
          <w:spacing w:val="-12"/>
        </w:rPr>
        <w:t> </w:t>
      </w:r>
      <w:r>
        <w:rPr/>
        <w:t>is</w:t>
      </w:r>
      <w:r>
        <w:rPr>
          <w:spacing w:val="-11"/>
        </w:rPr>
        <w:t> </w:t>
      </w:r>
      <w:r>
        <w:rPr/>
        <w:t>the</w:t>
      </w:r>
      <w:r>
        <w:rPr>
          <w:spacing w:val="-12"/>
        </w:rPr>
        <w:t> </w:t>
      </w:r>
      <w:r>
        <w:rPr/>
        <w:t>largest</w:t>
      </w:r>
      <w:r>
        <w:rPr>
          <w:spacing w:val="-11"/>
        </w:rPr>
        <w:t> </w:t>
      </w:r>
      <w:r>
        <w:rPr/>
        <w:t>college</w:t>
      </w:r>
      <w:r>
        <w:rPr>
          <w:spacing w:val="-12"/>
        </w:rPr>
        <w:t> </w:t>
      </w:r>
      <w:r>
        <w:rPr/>
        <w:t>in</w:t>
      </w:r>
      <w:r>
        <w:rPr>
          <w:spacing w:val="-11"/>
        </w:rPr>
        <w:t> </w:t>
      </w:r>
      <w:r>
        <w:rPr/>
        <w:t>the</w:t>
      </w:r>
      <w:r>
        <w:rPr>
          <w:spacing w:val="-12"/>
        </w:rPr>
        <w:t> </w:t>
      </w:r>
      <w:r>
        <w:rPr/>
        <w:t>University</w:t>
      </w:r>
      <w:r>
        <w:rPr>
          <w:spacing w:val="-11"/>
        </w:rPr>
        <w:t> </w:t>
      </w:r>
      <w:r>
        <w:rPr/>
        <w:t>of</w:t>
      </w:r>
      <w:r>
        <w:rPr>
          <w:spacing w:val="-12"/>
        </w:rPr>
        <w:t> </w:t>
      </w:r>
      <w:r>
        <w:rPr/>
        <w:t>Memphis,</w:t>
      </w:r>
      <w:r>
        <w:rPr>
          <w:spacing w:val="-11"/>
        </w:rPr>
        <w:t> </w:t>
      </w:r>
      <w:r>
        <w:rPr/>
        <w:t>comprising</w:t>
      </w:r>
      <w:r>
        <w:rPr>
          <w:spacing w:val="-12"/>
        </w:rPr>
        <w:t> </w:t>
      </w:r>
      <w:r>
        <w:rPr/>
        <w:t>24</w:t>
      </w:r>
      <w:r>
        <w:rPr>
          <w:spacing w:val="-11"/>
        </w:rPr>
        <w:t> </w:t>
      </w:r>
      <w:r>
        <w:rPr/>
        <w:t>academic units, the ROTC, and multiple research centers, including two Centers of Excellence. Providing over a quarter-million credit hours of instruction annually, the College of Arts and Sciences offers a comprehensive liberal arts curriculum to equip its students in pursuing rich personal and professional lives. It is dedicated to providing educational opportunities that broaden student knowledge within the major areas of human study, in-depth understanding of at least one area of inquiry, and the skills and abilities necessary for a lifetime of learning, career success, and participatory citizenship. The College provides quality undergraduate and graduate education by training students to think</w:t>
      </w:r>
      <w:r>
        <w:rPr>
          <w:spacing w:val="-20"/>
        </w:rPr>
        <w:t> </w:t>
      </w:r>
      <w:r>
        <w:rPr/>
        <w:t>critically about their course of study, themselves, and the world around them. Through programs of basic and applied research, the College's faculty and students increase knowledge and address the complex issues, local and global, facing all</w:t>
      </w:r>
      <w:r>
        <w:rPr>
          <w:spacing w:val="-17"/>
        </w:rPr>
        <w:t> </w:t>
      </w:r>
      <w:r>
        <w:rPr/>
        <w:t>citizens.</w:t>
      </w:r>
    </w:p>
    <w:p>
      <w:pPr>
        <w:pStyle w:val="BodyText"/>
        <w:rPr>
          <w:sz w:val="28"/>
        </w:rPr>
      </w:pPr>
    </w:p>
    <w:p>
      <w:pPr>
        <w:pStyle w:val="BodyText"/>
        <w:spacing w:before="7"/>
        <w:rPr>
          <w:sz w:val="22"/>
        </w:rPr>
      </w:pPr>
    </w:p>
    <w:p>
      <w:pPr>
        <w:pStyle w:val="Heading2"/>
        <w:ind w:left="859"/>
      </w:pPr>
      <w:r>
        <w:rPr>
          <w:color w:val="1F497C"/>
        </w:rPr>
        <w:t>SCHOOL OF SOCIAL WORK MISSION</w:t>
      </w:r>
    </w:p>
    <w:p>
      <w:pPr>
        <w:pStyle w:val="BodyText"/>
        <w:spacing w:before="7"/>
        <w:rPr>
          <w:b/>
          <w:sz w:val="23"/>
        </w:rPr>
      </w:pPr>
    </w:p>
    <w:p>
      <w:pPr>
        <w:pStyle w:val="BodyText"/>
        <w:ind w:left="860" w:right="211"/>
        <w:jc w:val="both"/>
      </w:pPr>
      <w:r>
        <w:rPr/>
        <w:t>The School of Social Work seeks to be a leader in social work education by: preparing students with cutting-edge social work skills necessary to practice in complex settings; creating knowledge through research and engaged scholarship; reducing poverty, inequality, and social and economic injustice through evidence based practices; and addressing the needs of the Mid-South within a global perspective.</w:t>
      </w:r>
    </w:p>
    <w:p>
      <w:pPr>
        <w:pStyle w:val="BodyText"/>
        <w:rPr>
          <w:sz w:val="28"/>
        </w:rPr>
      </w:pPr>
    </w:p>
    <w:p>
      <w:pPr>
        <w:pStyle w:val="BodyText"/>
        <w:spacing w:before="8"/>
        <w:rPr>
          <w:sz w:val="20"/>
        </w:rPr>
      </w:pPr>
    </w:p>
    <w:p>
      <w:pPr>
        <w:pStyle w:val="Heading2"/>
        <w:spacing w:before="1"/>
        <w:ind w:left="860"/>
      </w:pPr>
      <w:r>
        <w:rPr>
          <w:color w:val="1F497C"/>
        </w:rPr>
        <w:t>COMMITMENT TO DIVERSITY AND SOCIAL JUSTICE</w:t>
      </w:r>
    </w:p>
    <w:p>
      <w:pPr>
        <w:pStyle w:val="BodyText"/>
        <w:spacing w:before="239"/>
        <w:ind w:left="859" w:right="210"/>
        <w:jc w:val="both"/>
      </w:pPr>
      <w:r>
        <w:rPr/>
        <w:t>A</w:t>
      </w:r>
      <w:r>
        <w:rPr>
          <w:spacing w:val="-9"/>
        </w:rPr>
        <w:t> </w:t>
      </w:r>
      <w:r>
        <w:rPr/>
        <w:t>primary</w:t>
      </w:r>
      <w:r>
        <w:rPr>
          <w:spacing w:val="-9"/>
        </w:rPr>
        <w:t> </w:t>
      </w:r>
      <w:r>
        <w:rPr/>
        <w:t>focus</w:t>
      </w:r>
      <w:r>
        <w:rPr>
          <w:spacing w:val="-8"/>
        </w:rPr>
        <w:t> </w:t>
      </w:r>
      <w:r>
        <w:rPr/>
        <w:t>of</w:t>
      </w:r>
      <w:r>
        <w:rPr>
          <w:spacing w:val="-9"/>
        </w:rPr>
        <w:t> </w:t>
      </w:r>
      <w:r>
        <w:rPr/>
        <w:t>the</w:t>
      </w:r>
      <w:r>
        <w:rPr>
          <w:spacing w:val="-8"/>
        </w:rPr>
        <w:t> </w:t>
      </w:r>
      <w:r>
        <w:rPr/>
        <w:t>Master</w:t>
      </w:r>
      <w:r>
        <w:rPr>
          <w:spacing w:val="-9"/>
        </w:rPr>
        <w:t> </w:t>
      </w:r>
      <w:r>
        <w:rPr/>
        <w:t>of</w:t>
      </w:r>
      <w:r>
        <w:rPr>
          <w:spacing w:val="-9"/>
        </w:rPr>
        <w:t> </w:t>
      </w:r>
      <w:r>
        <w:rPr/>
        <w:t>Social</w:t>
      </w:r>
      <w:r>
        <w:rPr>
          <w:spacing w:val="-8"/>
        </w:rPr>
        <w:t> </w:t>
      </w:r>
      <w:r>
        <w:rPr/>
        <w:t>Work</w:t>
      </w:r>
      <w:r>
        <w:rPr>
          <w:spacing w:val="-9"/>
        </w:rPr>
        <w:t> </w:t>
      </w:r>
      <w:r>
        <w:rPr/>
        <w:t>program</w:t>
      </w:r>
      <w:r>
        <w:rPr>
          <w:spacing w:val="-8"/>
        </w:rPr>
        <w:t> </w:t>
      </w:r>
      <w:r>
        <w:rPr/>
        <w:t>is</w:t>
      </w:r>
      <w:r>
        <w:rPr>
          <w:spacing w:val="-9"/>
        </w:rPr>
        <w:t> </w:t>
      </w:r>
      <w:r>
        <w:rPr/>
        <w:t>to</w:t>
      </w:r>
      <w:r>
        <w:rPr>
          <w:spacing w:val="-9"/>
        </w:rPr>
        <w:t> </w:t>
      </w:r>
      <w:r>
        <w:rPr/>
        <w:t>enhance</w:t>
      </w:r>
      <w:r>
        <w:rPr>
          <w:spacing w:val="-8"/>
        </w:rPr>
        <w:t> </w:t>
      </w:r>
      <w:r>
        <w:rPr/>
        <w:t>human</w:t>
      </w:r>
      <w:r>
        <w:rPr>
          <w:spacing w:val="-9"/>
        </w:rPr>
        <w:t> </w:t>
      </w:r>
      <w:r>
        <w:rPr/>
        <w:t>wellbeing</w:t>
      </w:r>
      <w:r>
        <w:rPr>
          <w:spacing w:val="-8"/>
        </w:rPr>
        <w:t> </w:t>
      </w:r>
      <w:r>
        <w:rPr/>
        <w:t>and</w:t>
      </w:r>
      <w:r>
        <w:rPr>
          <w:spacing w:val="-9"/>
        </w:rPr>
        <w:t> </w:t>
      </w:r>
      <w:r>
        <w:rPr/>
        <w:t>help</w:t>
      </w:r>
      <w:r>
        <w:rPr>
          <w:spacing w:val="-9"/>
        </w:rPr>
        <w:t> </w:t>
      </w:r>
      <w:r>
        <w:rPr/>
        <w:t>to</w:t>
      </w:r>
      <w:r>
        <w:rPr>
          <w:spacing w:val="-8"/>
        </w:rPr>
        <w:t> </w:t>
      </w:r>
      <w:r>
        <w:rPr/>
        <w:t>meet the basic human needs of all people, with particular attention to the needs and empowerment of people who are vulnerable, oppressed, and living in poverty. This mission is consistent with the values of the social work profession in that all aspects of the program are committed to enhancing service</w:t>
      </w:r>
      <w:r>
        <w:rPr>
          <w:spacing w:val="23"/>
        </w:rPr>
        <w:t> </w:t>
      </w:r>
      <w:r>
        <w:rPr/>
        <w:t>to</w:t>
      </w:r>
    </w:p>
    <w:p>
      <w:pPr>
        <w:spacing w:after="0"/>
        <w:jc w:val="both"/>
        <w:sectPr>
          <w:footerReference w:type="default" r:id="rId6"/>
          <w:pgSz w:w="12240" w:h="15840"/>
          <w:pgMar w:footer="1108" w:header="0" w:top="1400" w:bottom="1300" w:left="300" w:right="920"/>
          <w:pgNumType w:start="4"/>
        </w:sectPr>
      </w:pPr>
    </w:p>
    <w:p>
      <w:pPr>
        <w:pStyle w:val="BodyText"/>
        <w:spacing w:before="73"/>
        <w:ind w:left="859" w:right="211"/>
        <w:jc w:val="both"/>
      </w:pPr>
      <w:r>
        <w:rPr/>
        <w:t>vulnerable</w:t>
      </w:r>
      <w:r>
        <w:rPr>
          <w:spacing w:val="-14"/>
        </w:rPr>
        <w:t> </w:t>
      </w:r>
      <w:r>
        <w:rPr/>
        <w:t>populations</w:t>
      </w:r>
      <w:r>
        <w:rPr>
          <w:spacing w:val="-14"/>
        </w:rPr>
        <w:t> </w:t>
      </w:r>
      <w:r>
        <w:rPr/>
        <w:t>while</w:t>
      </w:r>
      <w:r>
        <w:rPr>
          <w:spacing w:val="-14"/>
        </w:rPr>
        <w:t> </w:t>
      </w:r>
      <w:r>
        <w:rPr/>
        <w:t>promoting</w:t>
      </w:r>
      <w:r>
        <w:rPr>
          <w:spacing w:val="-14"/>
        </w:rPr>
        <w:t> </w:t>
      </w:r>
      <w:r>
        <w:rPr/>
        <w:t>social</w:t>
      </w:r>
      <w:r>
        <w:rPr>
          <w:spacing w:val="-14"/>
        </w:rPr>
        <w:t> </w:t>
      </w:r>
      <w:r>
        <w:rPr/>
        <w:t>justice.</w:t>
      </w:r>
      <w:r>
        <w:rPr>
          <w:spacing w:val="-13"/>
        </w:rPr>
        <w:t> </w:t>
      </w:r>
      <w:r>
        <w:rPr/>
        <w:t>The</w:t>
      </w:r>
      <w:r>
        <w:rPr>
          <w:spacing w:val="-14"/>
        </w:rPr>
        <w:t> </w:t>
      </w:r>
      <w:r>
        <w:rPr/>
        <w:t>program</w:t>
      </w:r>
      <w:r>
        <w:rPr>
          <w:spacing w:val="-14"/>
        </w:rPr>
        <w:t> </w:t>
      </w:r>
      <w:r>
        <w:rPr/>
        <w:t>is</w:t>
      </w:r>
      <w:r>
        <w:rPr>
          <w:spacing w:val="-14"/>
        </w:rPr>
        <w:t> </w:t>
      </w:r>
      <w:r>
        <w:rPr/>
        <w:t>committed</w:t>
      </w:r>
      <w:r>
        <w:rPr>
          <w:spacing w:val="-14"/>
        </w:rPr>
        <w:t> </w:t>
      </w:r>
      <w:r>
        <w:rPr/>
        <w:t>to</w:t>
      </w:r>
      <w:r>
        <w:rPr>
          <w:spacing w:val="-13"/>
        </w:rPr>
        <w:t> </w:t>
      </w:r>
      <w:r>
        <w:rPr/>
        <w:t>developing</w:t>
      </w:r>
      <w:r>
        <w:rPr>
          <w:spacing w:val="-14"/>
        </w:rPr>
        <w:t> </w:t>
      </w:r>
      <w:r>
        <w:rPr/>
        <w:t>student knowledge, values, and skills essential to competent social work practice, the importance of human relationships, the dignity and worth of all persons and integrity throughout all aspects of professional practice.</w:t>
      </w:r>
    </w:p>
    <w:p>
      <w:pPr>
        <w:pStyle w:val="BodyText"/>
        <w:rPr>
          <w:sz w:val="28"/>
        </w:rPr>
      </w:pPr>
    </w:p>
    <w:p>
      <w:pPr>
        <w:pStyle w:val="BodyText"/>
        <w:spacing w:before="3"/>
        <w:rPr>
          <w:sz w:val="35"/>
        </w:rPr>
      </w:pPr>
    </w:p>
    <w:p>
      <w:pPr>
        <w:pStyle w:val="Heading2"/>
        <w:ind w:left="860"/>
      </w:pPr>
      <w:r>
        <w:rPr>
          <w:color w:val="1F497C"/>
        </w:rPr>
        <w:t>MASTER OF SOCIAL WORK PROGRAM MISSION</w:t>
      </w:r>
    </w:p>
    <w:p>
      <w:pPr>
        <w:pStyle w:val="BodyText"/>
        <w:spacing w:before="240"/>
        <w:ind w:left="859" w:right="211"/>
        <w:jc w:val="both"/>
      </w:pPr>
      <w:r>
        <w:rPr/>
        <w:t>The mission of the Master of Social Work program is to educate advanced professional social workers for practice with at-risk populations. The Master of Social Work program is dedicated to (a) educating social workers with knowledge, values, and skills for evidence-based practice, (b) advancing the knowledge</w:t>
      </w:r>
      <w:r>
        <w:rPr>
          <w:spacing w:val="-7"/>
        </w:rPr>
        <w:t> </w:t>
      </w:r>
      <w:r>
        <w:rPr/>
        <w:t>base</w:t>
      </w:r>
      <w:r>
        <w:rPr>
          <w:spacing w:val="-7"/>
        </w:rPr>
        <w:t> </w:t>
      </w:r>
      <w:r>
        <w:rPr/>
        <w:t>of</w:t>
      </w:r>
      <w:r>
        <w:rPr>
          <w:spacing w:val="-7"/>
        </w:rPr>
        <w:t> </w:t>
      </w:r>
      <w:r>
        <w:rPr/>
        <w:t>the</w:t>
      </w:r>
      <w:r>
        <w:rPr>
          <w:spacing w:val="-7"/>
        </w:rPr>
        <w:t> </w:t>
      </w:r>
      <w:r>
        <w:rPr/>
        <w:t>social</w:t>
      </w:r>
      <w:r>
        <w:rPr>
          <w:spacing w:val="-7"/>
        </w:rPr>
        <w:t> </w:t>
      </w:r>
      <w:r>
        <w:rPr/>
        <w:t>work</w:t>
      </w:r>
      <w:r>
        <w:rPr>
          <w:spacing w:val="-6"/>
        </w:rPr>
        <w:t> </w:t>
      </w:r>
      <w:r>
        <w:rPr/>
        <w:t>profession</w:t>
      </w:r>
      <w:r>
        <w:rPr>
          <w:spacing w:val="-7"/>
        </w:rPr>
        <w:t> </w:t>
      </w:r>
      <w:r>
        <w:rPr/>
        <w:t>and</w:t>
      </w:r>
      <w:r>
        <w:rPr>
          <w:spacing w:val="-7"/>
        </w:rPr>
        <w:t> </w:t>
      </w:r>
      <w:r>
        <w:rPr/>
        <w:t>(c)</w:t>
      </w:r>
      <w:r>
        <w:rPr>
          <w:spacing w:val="-7"/>
        </w:rPr>
        <w:t> </w:t>
      </w:r>
      <w:r>
        <w:rPr/>
        <w:t>providing</w:t>
      </w:r>
      <w:r>
        <w:rPr>
          <w:spacing w:val="-7"/>
        </w:rPr>
        <w:t> </w:t>
      </w:r>
      <w:r>
        <w:rPr/>
        <w:t>regional</w:t>
      </w:r>
      <w:r>
        <w:rPr>
          <w:spacing w:val="-7"/>
        </w:rPr>
        <w:t> </w:t>
      </w:r>
      <w:r>
        <w:rPr/>
        <w:t>leadership</w:t>
      </w:r>
      <w:r>
        <w:rPr>
          <w:spacing w:val="-6"/>
        </w:rPr>
        <w:t> </w:t>
      </w:r>
      <w:r>
        <w:rPr/>
        <w:t>in</w:t>
      </w:r>
      <w:r>
        <w:rPr>
          <w:spacing w:val="-7"/>
        </w:rPr>
        <w:t> </w:t>
      </w:r>
      <w:r>
        <w:rPr/>
        <w:t>the</w:t>
      </w:r>
      <w:r>
        <w:rPr>
          <w:spacing w:val="-7"/>
        </w:rPr>
        <w:t> </w:t>
      </w:r>
      <w:r>
        <w:rPr/>
        <w:t>development and implementation of policies, programs, and services for at-risk</w:t>
      </w:r>
      <w:r>
        <w:rPr>
          <w:spacing w:val="-2"/>
        </w:rPr>
        <w:t> </w:t>
      </w:r>
      <w:r>
        <w:rPr/>
        <w:t>populations.</w:t>
      </w:r>
    </w:p>
    <w:p>
      <w:pPr>
        <w:pStyle w:val="BodyText"/>
        <w:rPr>
          <w:sz w:val="28"/>
        </w:rPr>
      </w:pPr>
    </w:p>
    <w:p>
      <w:pPr>
        <w:pStyle w:val="BodyText"/>
        <w:spacing w:before="3"/>
        <w:rPr>
          <w:sz w:val="35"/>
        </w:rPr>
      </w:pPr>
    </w:p>
    <w:p>
      <w:pPr>
        <w:pStyle w:val="Heading2"/>
        <w:ind w:left="860"/>
      </w:pPr>
      <w:r>
        <w:rPr>
          <w:color w:val="1F497C"/>
        </w:rPr>
        <w:t>MASTER OF SOCIAL WORK PROGRAM GOALS</w:t>
      </w:r>
    </w:p>
    <w:p>
      <w:pPr>
        <w:pStyle w:val="BodyText"/>
        <w:spacing w:before="240"/>
        <w:ind w:left="859" w:right="213"/>
        <w:jc w:val="both"/>
      </w:pPr>
      <w:r>
        <w:rPr/>
        <w:t>Stemming from the mission statements of the School of Social Work and the Master of Social Work Program, nine (9) program goals have been developed.</w:t>
      </w:r>
    </w:p>
    <w:p>
      <w:pPr>
        <w:pStyle w:val="BodyText"/>
        <w:spacing w:line="278" w:lineRule="auto" w:before="235"/>
        <w:ind w:left="1579" w:right="228" w:hanging="720"/>
      </w:pPr>
      <w:r>
        <w:rPr>
          <w:b/>
          <w:color w:val="1F497C"/>
        </w:rPr>
        <w:t>Goal 1: </w:t>
      </w:r>
      <w:r>
        <w:rPr/>
        <w:t>The program will produce graduates grounded in the liberal arts and a person-in-environment framework with advanced knowledge, values, and skills to practice in a critical, reflective manner.</w:t>
      </w:r>
    </w:p>
    <w:p>
      <w:pPr>
        <w:pStyle w:val="BodyText"/>
        <w:spacing w:line="276" w:lineRule="auto" w:before="113"/>
        <w:ind w:left="1579" w:right="483" w:hanging="720"/>
      </w:pPr>
      <w:r>
        <w:rPr>
          <w:b/>
          <w:color w:val="1F497C"/>
        </w:rPr>
        <w:t>Goal 2: </w:t>
      </w:r>
      <w:r>
        <w:rPr/>
        <w:t>The program will produce graduates with an advanced professional foundation with an emphasis on the ability to implement evidence-based methods to promote well-being in at- risk populations.</w:t>
      </w:r>
    </w:p>
    <w:p>
      <w:pPr>
        <w:pStyle w:val="BodyText"/>
        <w:spacing w:line="278" w:lineRule="auto" w:before="31"/>
        <w:ind w:left="1579" w:right="298" w:hanging="720"/>
      </w:pPr>
      <w:r>
        <w:rPr>
          <w:b/>
          <w:color w:val="1F497C"/>
        </w:rPr>
        <w:t>Goal 3: </w:t>
      </w:r>
      <w:r>
        <w:rPr/>
        <w:t>The program will produce graduates with a professional foundation with a generalist practice perspective emphasizing critical thinking in relationship to practice with diverse individuals, families, groups, organizations, and communities.</w:t>
      </w:r>
    </w:p>
    <w:p>
      <w:pPr>
        <w:pStyle w:val="BodyText"/>
        <w:spacing w:line="276" w:lineRule="auto" w:before="113"/>
        <w:ind w:left="1580" w:right="342" w:hanging="720"/>
      </w:pPr>
      <w:r>
        <w:rPr>
          <w:b/>
          <w:color w:val="1F497C"/>
        </w:rPr>
        <w:t>Goal 4: </w:t>
      </w:r>
      <w:r>
        <w:rPr/>
        <w:t>The program will produce graduates with advanced knowledge, values, and skills for practice intended to serve at-risk clients and communities in rural and urban environments.</w:t>
      </w:r>
    </w:p>
    <w:p>
      <w:pPr>
        <w:pStyle w:val="BodyText"/>
        <w:spacing w:line="278" w:lineRule="auto" w:before="118"/>
        <w:ind w:left="1579" w:right="315" w:hanging="720"/>
      </w:pPr>
      <w:r>
        <w:rPr>
          <w:b/>
          <w:color w:val="1F497C"/>
        </w:rPr>
        <w:t>Goal 5: </w:t>
      </w:r>
      <w:r>
        <w:rPr/>
        <w:t>The program will produce graduates with a professional foundation with a generalist perspective that includes practice with both rural and urban, at-risk populations to recognize, support, and build on strengths.</w:t>
      </w:r>
    </w:p>
    <w:p>
      <w:pPr>
        <w:pStyle w:val="BodyText"/>
        <w:spacing w:line="276" w:lineRule="auto" w:before="113"/>
        <w:ind w:left="1579" w:right="254" w:hanging="720"/>
      </w:pPr>
      <w:r>
        <w:rPr>
          <w:b/>
          <w:color w:val="1F497C"/>
        </w:rPr>
        <w:t>Goal 6: </w:t>
      </w:r>
      <w:r>
        <w:rPr/>
        <w:t>The program will produce graduates who have developed an array of competencies useful for working with clients and constituencies at all levels of prevention and intervention.</w:t>
      </w:r>
    </w:p>
    <w:p>
      <w:pPr>
        <w:pStyle w:val="BodyText"/>
        <w:spacing w:line="276" w:lineRule="auto" w:before="119"/>
        <w:ind w:left="1579" w:right="564" w:hanging="720"/>
      </w:pPr>
      <w:r>
        <w:rPr>
          <w:b/>
          <w:color w:val="1F497C"/>
        </w:rPr>
        <w:t>Goal 7: </w:t>
      </w:r>
      <w:r>
        <w:rPr/>
        <w:t>The program will produce graduates who possess a professional foundation consisting of a generalist practice perspective for practice in public, publicly-supported, and nonprofit</w:t>
      </w:r>
    </w:p>
    <w:p>
      <w:pPr>
        <w:spacing w:after="0" w:line="276" w:lineRule="auto"/>
        <w:sectPr>
          <w:pgSz w:w="12240" w:h="15840"/>
          <w:pgMar w:header="0" w:footer="1108" w:top="1380" w:bottom="1300" w:left="300" w:right="920"/>
        </w:sectPr>
      </w:pPr>
    </w:p>
    <w:p>
      <w:pPr>
        <w:pStyle w:val="BodyText"/>
        <w:spacing w:before="73"/>
        <w:ind w:left="1579"/>
      </w:pPr>
      <w:r>
        <w:rPr/>
        <w:t>settings.</w:t>
      </w:r>
    </w:p>
    <w:p>
      <w:pPr>
        <w:pStyle w:val="BodyText"/>
        <w:spacing w:line="276" w:lineRule="auto" w:before="163"/>
        <w:ind w:left="1579" w:right="359" w:hanging="720"/>
        <w:jc w:val="both"/>
      </w:pPr>
      <w:r>
        <w:rPr>
          <w:b/>
          <w:color w:val="1F497C"/>
        </w:rPr>
        <w:t>Goal 8: </w:t>
      </w:r>
      <w:r>
        <w:rPr/>
        <w:t>The program will produce graduates who possess a professional foundation with a generalist perspective that includes leadership at multiple levels of service delivery.</w:t>
      </w:r>
    </w:p>
    <w:p>
      <w:pPr>
        <w:pStyle w:val="BodyText"/>
        <w:spacing w:line="276" w:lineRule="auto" w:before="123"/>
        <w:ind w:left="1579" w:right="415" w:hanging="720"/>
        <w:jc w:val="both"/>
      </w:pPr>
      <w:r>
        <w:rPr>
          <w:b/>
          <w:color w:val="1F497C"/>
        </w:rPr>
        <w:t>Goal 9: </w:t>
      </w:r>
      <w:r>
        <w:rPr/>
        <w:t>The program will produce graduates who possess advanced knowledge, values, and skills to provide leadership with, and on behalf of clients and constituencies promoting human rights and social and economic justice.</w:t>
      </w:r>
    </w:p>
    <w:p>
      <w:pPr>
        <w:pStyle w:val="BodyText"/>
        <w:rPr>
          <w:sz w:val="28"/>
        </w:rPr>
      </w:pPr>
    </w:p>
    <w:p>
      <w:pPr>
        <w:pStyle w:val="Heading2"/>
        <w:spacing w:line="472" w:lineRule="auto" w:before="231"/>
        <w:ind w:left="859" w:right="7895"/>
      </w:pPr>
      <w:r>
        <w:rPr>
          <w:color w:val="1F497C"/>
        </w:rPr>
        <w:t>ADMISSIONS ADMISSIONS PROCESS</w:t>
      </w:r>
    </w:p>
    <w:p>
      <w:pPr>
        <w:pStyle w:val="BodyText"/>
        <w:ind w:left="859" w:right="212"/>
        <w:jc w:val="both"/>
      </w:pPr>
      <w:r>
        <w:rPr/>
        <w:t>The School of Social Work only accepts applicants for admission to the program once per year. Applicants for Advanced Standing are accepted for Summer semester. Applicants for Full-Time and Extended-Study are accepted for Fall semester. Admission into the MSW program is a four-step process. All documents from each step are required for the application to be considered complete.</w:t>
      </w:r>
    </w:p>
    <w:p>
      <w:pPr>
        <w:pStyle w:val="BodyText"/>
        <w:spacing w:before="2"/>
      </w:pPr>
    </w:p>
    <w:p>
      <w:pPr>
        <w:pStyle w:val="Heading2"/>
        <w:ind w:left="860"/>
      </w:pPr>
      <w:r>
        <w:rPr>
          <w:color w:val="1F497D"/>
        </w:rPr>
        <w:t>STEP 1: Graduate School Application</w:t>
      </w:r>
    </w:p>
    <w:p>
      <w:pPr>
        <w:pStyle w:val="BodyText"/>
        <w:ind w:left="859" w:right="212"/>
        <w:jc w:val="both"/>
      </w:pPr>
      <w:r>
        <w:rPr/>
        <w:t>Use</w:t>
      </w:r>
      <w:r>
        <w:rPr>
          <w:spacing w:val="-11"/>
        </w:rPr>
        <w:t> </w:t>
      </w:r>
      <w:r>
        <w:rPr/>
        <w:t>the</w:t>
      </w:r>
      <w:r>
        <w:rPr>
          <w:spacing w:val="-11"/>
        </w:rPr>
        <w:t> </w:t>
      </w:r>
      <w:r>
        <w:rPr/>
        <w:t>electronic</w:t>
      </w:r>
      <w:r>
        <w:rPr>
          <w:spacing w:val="-10"/>
        </w:rPr>
        <w:t> </w:t>
      </w:r>
      <w:r>
        <w:rPr/>
        <w:t>admission</w:t>
      </w:r>
      <w:r>
        <w:rPr>
          <w:spacing w:val="-11"/>
        </w:rPr>
        <w:t> </w:t>
      </w:r>
      <w:r>
        <w:rPr/>
        <w:t>applications</w:t>
      </w:r>
      <w:r>
        <w:rPr>
          <w:spacing w:val="-11"/>
        </w:rPr>
        <w:t> </w:t>
      </w:r>
      <w:r>
        <w:rPr/>
        <w:t>to</w:t>
      </w:r>
      <w:r>
        <w:rPr>
          <w:spacing w:val="-10"/>
        </w:rPr>
        <w:t> </w:t>
      </w:r>
      <w:r>
        <w:rPr/>
        <w:t>apply</w:t>
      </w:r>
      <w:r>
        <w:rPr>
          <w:spacing w:val="-11"/>
        </w:rPr>
        <w:t> </w:t>
      </w:r>
      <w:r>
        <w:rPr/>
        <w:t>to</w:t>
      </w:r>
      <w:r>
        <w:rPr>
          <w:spacing w:val="-11"/>
        </w:rPr>
        <w:t> </w:t>
      </w:r>
      <w:r>
        <w:rPr/>
        <w:t>Graduate</w:t>
      </w:r>
      <w:r>
        <w:rPr>
          <w:spacing w:val="-10"/>
        </w:rPr>
        <w:t> </w:t>
      </w:r>
      <w:r>
        <w:rPr/>
        <w:t>School,</w:t>
      </w:r>
      <w:r>
        <w:rPr>
          <w:spacing w:val="-11"/>
        </w:rPr>
        <w:t> </w:t>
      </w:r>
      <w:r>
        <w:rPr/>
        <w:t>file</w:t>
      </w:r>
      <w:r>
        <w:rPr>
          <w:spacing w:val="-11"/>
        </w:rPr>
        <w:t> </w:t>
      </w:r>
      <w:r>
        <w:rPr/>
        <w:t>for</w:t>
      </w:r>
      <w:r>
        <w:rPr>
          <w:spacing w:val="-10"/>
        </w:rPr>
        <w:t> </w:t>
      </w:r>
      <w:r>
        <w:rPr/>
        <w:t>readmission</w:t>
      </w:r>
      <w:r>
        <w:rPr>
          <w:spacing w:val="-11"/>
        </w:rPr>
        <w:t> </w:t>
      </w:r>
      <w:r>
        <w:rPr/>
        <w:t>or</w:t>
      </w:r>
      <w:r>
        <w:rPr>
          <w:spacing w:val="-11"/>
        </w:rPr>
        <w:t> </w:t>
      </w:r>
      <w:r>
        <w:rPr/>
        <w:t>to</w:t>
      </w:r>
      <w:r>
        <w:rPr>
          <w:spacing w:val="-10"/>
        </w:rPr>
        <w:t> </w:t>
      </w:r>
      <w:r>
        <w:rPr/>
        <w:t>change your</w:t>
      </w:r>
      <w:r>
        <w:rPr>
          <w:spacing w:val="-11"/>
        </w:rPr>
        <w:t> </w:t>
      </w:r>
      <w:r>
        <w:rPr/>
        <w:t>current</w:t>
      </w:r>
      <w:r>
        <w:rPr>
          <w:spacing w:val="-11"/>
        </w:rPr>
        <w:t> </w:t>
      </w:r>
      <w:r>
        <w:rPr/>
        <w:t>degree</w:t>
      </w:r>
      <w:r>
        <w:rPr>
          <w:spacing w:val="-10"/>
        </w:rPr>
        <w:t> </w:t>
      </w:r>
      <w:r>
        <w:rPr/>
        <w:t>program</w:t>
      </w:r>
      <w:r>
        <w:rPr>
          <w:spacing w:val="-11"/>
        </w:rPr>
        <w:t> </w:t>
      </w:r>
      <w:r>
        <w:rPr/>
        <w:t>or</w:t>
      </w:r>
      <w:r>
        <w:rPr>
          <w:spacing w:val="-10"/>
        </w:rPr>
        <w:t> </w:t>
      </w:r>
      <w:r>
        <w:rPr/>
        <w:t>student</w:t>
      </w:r>
      <w:r>
        <w:rPr>
          <w:spacing w:val="-11"/>
        </w:rPr>
        <w:t> </w:t>
      </w:r>
      <w:r>
        <w:rPr/>
        <w:t>level.</w:t>
      </w:r>
      <w:r>
        <w:rPr>
          <w:spacing w:val="-10"/>
        </w:rPr>
        <w:t> </w:t>
      </w:r>
      <w:r>
        <w:rPr/>
        <w:t>(Application</w:t>
      </w:r>
      <w:r>
        <w:rPr>
          <w:spacing w:val="-11"/>
        </w:rPr>
        <w:t> </w:t>
      </w:r>
      <w:r>
        <w:rPr/>
        <w:t>fees</w:t>
      </w:r>
      <w:r>
        <w:rPr>
          <w:spacing w:val="-11"/>
        </w:rPr>
        <w:t> </w:t>
      </w:r>
      <w:r>
        <w:rPr/>
        <w:t>for</w:t>
      </w:r>
      <w:r>
        <w:rPr>
          <w:spacing w:val="-10"/>
        </w:rPr>
        <w:t> </w:t>
      </w:r>
      <w:r>
        <w:rPr/>
        <w:t>initial</w:t>
      </w:r>
      <w:r>
        <w:rPr>
          <w:spacing w:val="-11"/>
        </w:rPr>
        <w:t> </w:t>
      </w:r>
      <w:r>
        <w:rPr/>
        <w:t>admission</w:t>
      </w:r>
      <w:r>
        <w:rPr>
          <w:spacing w:val="-10"/>
        </w:rPr>
        <w:t> </w:t>
      </w:r>
      <w:r>
        <w:rPr/>
        <w:t>are</w:t>
      </w:r>
      <w:r>
        <w:rPr>
          <w:spacing w:val="-11"/>
        </w:rPr>
        <w:t> </w:t>
      </w:r>
      <w:r>
        <w:rPr/>
        <w:t>$35</w:t>
      </w:r>
      <w:r>
        <w:rPr>
          <w:spacing w:val="-10"/>
        </w:rPr>
        <w:t> </w:t>
      </w:r>
      <w:r>
        <w:rPr/>
        <w:t>application fee for domestic students and $60 for international students). Click here to complete the </w:t>
      </w:r>
      <w:r>
        <w:rPr>
          <w:color w:val="0000FF"/>
          <w:u w:val="single" w:color="0000FF"/>
        </w:rPr>
        <w:t>Graduate</w:t>
      </w:r>
      <w:r>
        <w:rPr>
          <w:color w:val="0000FF"/>
        </w:rPr>
        <w:t> </w:t>
      </w:r>
      <w:r>
        <w:rPr>
          <w:color w:val="0000FF"/>
          <w:u w:val="single" w:color="0000FF"/>
        </w:rPr>
        <w:t>School</w:t>
      </w:r>
      <w:r>
        <w:rPr>
          <w:color w:val="0000FF"/>
          <w:spacing w:val="-1"/>
          <w:u w:val="single" w:color="0000FF"/>
        </w:rPr>
        <w:t> </w:t>
      </w:r>
      <w:r>
        <w:rPr>
          <w:color w:val="0000FF"/>
          <w:u w:val="single" w:color="0000FF"/>
        </w:rPr>
        <w:t>Application</w:t>
      </w:r>
      <w:r>
        <w:rPr/>
        <w:t>.</w:t>
      </w:r>
    </w:p>
    <w:p>
      <w:pPr>
        <w:pStyle w:val="BodyText"/>
        <w:spacing w:before="11"/>
        <w:rPr>
          <w:sz w:val="23"/>
        </w:rPr>
      </w:pPr>
    </w:p>
    <w:p>
      <w:pPr>
        <w:pStyle w:val="Heading2"/>
        <w:ind w:left="859" w:right="212"/>
        <w:jc w:val="both"/>
      </w:pPr>
      <w:r>
        <w:rPr/>
        <w:t>*Note, you will also need to do a separate application and apply to the MSW Program immediately after applying to the Graduate School.</w:t>
      </w:r>
    </w:p>
    <w:p>
      <w:pPr>
        <w:pStyle w:val="BodyText"/>
        <w:spacing w:line="293" w:lineRule="exact"/>
        <w:ind w:left="859"/>
        <w:jc w:val="both"/>
      </w:pPr>
      <w:r>
        <w:rPr/>
        <w:t>Click here:</w:t>
      </w:r>
      <w:r>
        <w:rPr>
          <w:spacing w:val="-13"/>
        </w:rPr>
        <w:t> </w:t>
      </w:r>
      <w:r>
        <w:rPr>
          <w:color w:val="0000FF"/>
          <w:u w:val="single" w:color="0000FF"/>
        </w:rPr>
        <w:t>https://memphis.co1.qualtrics.com/jfe/form/SV_0wVaXdffZFDFnyR.</w:t>
      </w:r>
    </w:p>
    <w:p>
      <w:pPr>
        <w:pStyle w:val="BodyText"/>
        <w:spacing w:before="2"/>
        <w:rPr>
          <w:sz w:val="16"/>
        </w:rPr>
      </w:pPr>
    </w:p>
    <w:p>
      <w:pPr>
        <w:pStyle w:val="Heading2"/>
        <w:spacing w:before="100"/>
        <w:ind w:left="860"/>
      </w:pPr>
      <w:r>
        <w:rPr>
          <w:color w:val="1F497D"/>
        </w:rPr>
        <w:t>STEP 2: Take the GRE or Praxis Core Academic Skills for Educators Writing</w:t>
      </w:r>
      <w:r>
        <w:rPr>
          <w:color w:val="1F497D"/>
          <w:spacing w:val="-2"/>
        </w:rPr>
        <w:t> </w:t>
      </w:r>
      <w:r>
        <w:rPr>
          <w:color w:val="1F497D"/>
        </w:rPr>
        <w:t>test</w:t>
      </w:r>
    </w:p>
    <w:p>
      <w:pPr>
        <w:pStyle w:val="BodyText"/>
        <w:ind w:left="859" w:right="212"/>
        <w:jc w:val="both"/>
      </w:pPr>
      <w:r>
        <w:rPr/>
        <w:t>You may take the GRE exam or the Praxis CORE Academic Skills for Educators Writing Test. Note, only the</w:t>
      </w:r>
      <w:r>
        <w:rPr>
          <w:spacing w:val="-13"/>
        </w:rPr>
        <w:t> </w:t>
      </w:r>
      <w:r>
        <w:rPr/>
        <w:t>writing</w:t>
      </w:r>
      <w:r>
        <w:rPr>
          <w:spacing w:val="-13"/>
        </w:rPr>
        <w:t> </w:t>
      </w:r>
      <w:r>
        <w:rPr/>
        <w:t>sub-test</w:t>
      </w:r>
      <w:r>
        <w:rPr>
          <w:spacing w:val="-12"/>
        </w:rPr>
        <w:t> </w:t>
      </w:r>
      <w:r>
        <w:rPr/>
        <w:t>is</w:t>
      </w:r>
      <w:r>
        <w:rPr>
          <w:spacing w:val="-13"/>
        </w:rPr>
        <w:t> </w:t>
      </w:r>
      <w:r>
        <w:rPr/>
        <w:t>required</w:t>
      </w:r>
      <w:r>
        <w:rPr>
          <w:spacing w:val="-12"/>
        </w:rPr>
        <w:t> </w:t>
      </w:r>
      <w:r>
        <w:rPr/>
        <w:t>if</w:t>
      </w:r>
      <w:r>
        <w:rPr>
          <w:spacing w:val="-13"/>
        </w:rPr>
        <w:t> </w:t>
      </w:r>
      <w:r>
        <w:rPr/>
        <w:t>you</w:t>
      </w:r>
      <w:r>
        <w:rPr>
          <w:spacing w:val="-13"/>
        </w:rPr>
        <w:t> </w:t>
      </w:r>
      <w:r>
        <w:rPr/>
        <w:t>choose</w:t>
      </w:r>
      <w:r>
        <w:rPr>
          <w:spacing w:val="-12"/>
        </w:rPr>
        <w:t> </w:t>
      </w:r>
      <w:r>
        <w:rPr/>
        <w:t>the</w:t>
      </w:r>
      <w:r>
        <w:rPr>
          <w:spacing w:val="-13"/>
        </w:rPr>
        <w:t> </w:t>
      </w:r>
      <w:r>
        <w:rPr/>
        <w:t>Praxis</w:t>
      </w:r>
      <w:r>
        <w:rPr>
          <w:spacing w:val="-12"/>
        </w:rPr>
        <w:t> </w:t>
      </w:r>
      <w:r>
        <w:rPr/>
        <w:t>exam.</w:t>
      </w:r>
      <w:r>
        <w:rPr>
          <w:spacing w:val="-13"/>
        </w:rPr>
        <w:t> </w:t>
      </w:r>
      <w:r>
        <w:rPr/>
        <w:t>Schedule</w:t>
      </w:r>
      <w:r>
        <w:rPr>
          <w:spacing w:val="-13"/>
        </w:rPr>
        <w:t> </w:t>
      </w:r>
      <w:r>
        <w:rPr/>
        <w:t>to</w:t>
      </w:r>
      <w:r>
        <w:rPr>
          <w:spacing w:val="-12"/>
        </w:rPr>
        <w:t> </w:t>
      </w:r>
      <w:r>
        <w:rPr/>
        <w:t>take</w:t>
      </w:r>
      <w:r>
        <w:rPr>
          <w:spacing w:val="-13"/>
        </w:rPr>
        <w:t> </w:t>
      </w:r>
      <w:r>
        <w:rPr/>
        <w:t>the</w:t>
      </w:r>
      <w:r>
        <w:rPr>
          <w:spacing w:val="-12"/>
        </w:rPr>
        <w:t> </w:t>
      </w:r>
      <w:r>
        <w:rPr/>
        <w:t>exam</w:t>
      </w:r>
      <w:r>
        <w:rPr>
          <w:spacing w:val="-13"/>
        </w:rPr>
        <w:t> </w:t>
      </w:r>
      <w:r>
        <w:rPr/>
        <w:t>of</w:t>
      </w:r>
      <w:r>
        <w:rPr>
          <w:spacing w:val="-13"/>
        </w:rPr>
        <w:t> </w:t>
      </w:r>
      <w:r>
        <w:rPr/>
        <w:t>your</w:t>
      </w:r>
      <w:r>
        <w:rPr>
          <w:spacing w:val="-12"/>
        </w:rPr>
        <w:t> </w:t>
      </w:r>
      <w:r>
        <w:rPr/>
        <w:t>choice, and have the results sent to Graduate</w:t>
      </w:r>
      <w:r>
        <w:rPr>
          <w:spacing w:val="-2"/>
        </w:rPr>
        <w:t> </w:t>
      </w:r>
      <w:r>
        <w:rPr/>
        <w:t>Admissions.</w:t>
      </w:r>
    </w:p>
    <w:p>
      <w:pPr>
        <w:pStyle w:val="BodyText"/>
        <w:spacing w:line="580" w:lineRule="atLeast" w:before="10"/>
        <w:ind w:left="859" w:right="5197"/>
      </w:pPr>
      <w:r>
        <w:rPr/>
        <w:t>Locally, you may schedule either of these exams at The University of Memphis</w:t>
      </w:r>
    </w:p>
    <w:p>
      <w:pPr>
        <w:pStyle w:val="BodyText"/>
        <w:spacing w:line="242" w:lineRule="auto" w:before="6"/>
        <w:ind w:left="859" w:right="8037"/>
      </w:pPr>
      <w:r>
        <w:rPr/>
        <w:t>Prometric Center 111C Brister Hall Phone: 901-678-1457</w:t>
      </w:r>
    </w:p>
    <w:p>
      <w:pPr>
        <w:pStyle w:val="BodyText"/>
        <w:spacing w:line="480" w:lineRule="auto"/>
        <w:ind w:left="859" w:right="6984"/>
      </w:pPr>
      <w:r>
        <w:rPr/>
        <w:t>Or Online at </w:t>
      </w:r>
      <w:hyperlink r:id="rId7">
        <w:r>
          <w:rPr>
            <w:color w:val="0000FF"/>
            <w:u w:val="single" w:color="0000FF"/>
          </w:rPr>
          <w:t>http://www.ets.org</w:t>
        </w:r>
      </w:hyperlink>
      <w:r>
        <w:rPr>
          <w:color w:val="0000FF"/>
        </w:rPr>
        <w:t> </w:t>
      </w:r>
      <w:r>
        <w:rPr/>
        <w:t>Have your scores sent to</w:t>
      </w:r>
    </w:p>
    <w:p>
      <w:pPr>
        <w:spacing w:after="0" w:line="480" w:lineRule="auto"/>
        <w:sectPr>
          <w:pgSz w:w="12240" w:h="15840"/>
          <w:pgMar w:header="0" w:footer="1108" w:top="1380" w:bottom="1300" w:left="300" w:right="920"/>
        </w:sectPr>
      </w:pPr>
    </w:p>
    <w:p>
      <w:pPr>
        <w:pStyle w:val="BodyText"/>
        <w:spacing w:before="73"/>
        <w:ind w:left="859"/>
      </w:pPr>
      <w:r>
        <w:rPr/>
        <w:t>Graduate Admissions</w:t>
      </w:r>
    </w:p>
    <w:p>
      <w:pPr>
        <w:pStyle w:val="BodyText"/>
        <w:ind w:left="859"/>
      </w:pPr>
      <w:r>
        <w:rPr/>
        <w:t>The University of Memphis</w:t>
      </w:r>
    </w:p>
    <w:p>
      <w:pPr>
        <w:pStyle w:val="BodyText"/>
        <w:spacing w:line="244" w:lineRule="auto"/>
        <w:ind w:left="859" w:right="5393"/>
      </w:pPr>
      <w:r>
        <w:rPr/>
        <w:t>FedEx Institute of Technology Building, Suite 201 Memphis, TN 38152</w:t>
      </w:r>
    </w:p>
    <w:p>
      <w:pPr>
        <w:pStyle w:val="BodyText"/>
        <w:rPr>
          <w:sz w:val="28"/>
        </w:rPr>
      </w:pPr>
    </w:p>
    <w:p>
      <w:pPr>
        <w:pStyle w:val="BodyText"/>
        <w:rPr>
          <w:sz w:val="28"/>
        </w:rPr>
      </w:pPr>
    </w:p>
    <w:p>
      <w:pPr>
        <w:pStyle w:val="Heading2"/>
        <w:spacing w:before="187"/>
        <w:ind w:left="860"/>
      </w:pPr>
      <w:r>
        <w:rPr>
          <w:color w:val="1F497D"/>
        </w:rPr>
        <w:t>STEP 3: Transcripts</w:t>
      </w:r>
    </w:p>
    <w:p>
      <w:pPr>
        <w:pStyle w:val="BodyText"/>
        <w:spacing w:before="5"/>
        <w:ind w:left="859"/>
      </w:pPr>
      <w:r>
        <w:rPr/>
        <w:t>Request that your official transcripts from all other colleges and/or universities you have attended be sent to:</w:t>
      </w:r>
    </w:p>
    <w:p>
      <w:pPr>
        <w:pStyle w:val="BodyText"/>
        <w:spacing w:before="11"/>
        <w:rPr>
          <w:sz w:val="23"/>
        </w:rPr>
      </w:pPr>
    </w:p>
    <w:p>
      <w:pPr>
        <w:pStyle w:val="BodyText"/>
        <w:spacing w:before="1"/>
        <w:ind w:left="859"/>
      </w:pPr>
      <w:r>
        <w:rPr/>
        <w:t>Graduate Admissions</w:t>
      </w:r>
    </w:p>
    <w:p>
      <w:pPr>
        <w:pStyle w:val="BodyText"/>
        <w:ind w:left="859"/>
      </w:pPr>
      <w:r>
        <w:rPr/>
        <w:t>The University of Memphis</w:t>
      </w:r>
    </w:p>
    <w:p>
      <w:pPr>
        <w:pStyle w:val="BodyText"/>
        <w:spacing w:before="4"/>
        <w:ind w:left="859" w:right="5393"/>
      </w:pPr>
      <w:r>
        <w:rPr/>
        <w:t>FedEx Institute of Technology Building, Suite 201 Memphis, TN 38152</w:t>
      </w:r>
    </w:p>
    <w:p>
      <w:pPr>
        <w:pStyle w:val="BodyText"/>
        <w:spacing w:before="12"/>
        <w:rPr>
          <w:sz w:val="23"/>
        </w:rPr>
      </w:pPr>
    </w:p>
    <w:p>
      <w:pPr>
        <w:pStyle w:val="Heading2"/>
        <w:ind w:left="860"/>
      </w:pPr>
      <w:r>
        <w:rPr>
          <w:color w:val="1F497D"/>
        </w:rPr>
        <w:t>STEP 4: MSW Program Application &amp; Materials</w:t>
      </w:r>
    </w:p>
    <w:p>
      <w:pPr>
        <w:pStyle w:val="BodyText"/>
        <w:ind w:left="859"/>
      </w:pPr>
      <w:r>
        <w:rPr/>
        <w:t>Complete and </w:t>
      </w:r>
      <w:r>
        <w:rPr>
          <w:color w:val="0000FF"/>
          <w:u w:val="single" w:color="0000FF"/>
        </w:rPr>
        <w:t>submit your application</w:t>
      </w:r>
      <w:r>
        <w:rPr>
          <w:color w:val="0000FF"/>
        </w:rPr>
        <w:t> </w:t>
      </w:r>
      <w:r>
        <w:rPr/>
        <w:t>to the MSW program online.</w:t>
      </w:r>
    </w:p>
    <w:p>
      <w:pPr>
        <w:pStyle w:val="BodyText"/>
        <w:spacing w:before="4"/>
        <w:ind w:left="859"/>
      </w:pPr>
      <w:r>
        <w:rPr/>
        <w:t>If you want to view the application without submitting any information, you can view a sample application </w:t>
      </w:r>
      <w:r>
        <w:rPr>
          <w:color w:val="0000FF"/>
          <w:u w:val="single" w:color="0000FF"/>
        </w:rPr>
        <w:t>here</w:t>
      </w:r>
      <w:r>
        <w:rPr/>
        <w:t>.</w:t>
      </w:r>
    </w:p>
    <w:p>
      <w:pPr>
        <w:pStyle w:val="BodyText"/>
        <w:spacing w:before="12"/>
        <w:rPr>
          <w:sz w:val="23"/>
        </w:rPr>
      </w:pPr>
    </w:p>
    <w:p>
      <w:pPr>
        <w:pStyle w:val="BodyText"/>
        <w:ind w:left="859"/>
      </w:pPr>
      <w:r>
        <w:rPr/>
        <w:t>Within the application, you will include the supplementary materials listed below.</w:t>
      </w:r>
    </w:p>
    <w:p>
      <w:pPr>
        <w:pStyle w:val="BodyText"/>
        <w:spacing w:before="4"/>
      </w:pPr>
    </w:p>
    <w:p>
      <w:pPr>
        <w:pStyle w:val="BodyText"/>
        <w:ind w:left="859"/>
      </w:pPr>
      <w:r>
        <w:rPr/>
        <w:t>-Current Resume. Include all paid and non-paid social work experience.</w:t>
      </w:r>
    </w:p>
    <w:p>
      <w:pPr>
        <w:pStyle w:val="BodyText"/>
        <w:ind w:left="859" w:right="212"/>
        <w:jc w:val="both"/>
      </w:pPr>
      <w:r>
        <w:rPr/>
        <w:t>-Three Letters of Recommendation. You will provide reference information, and a social work recommendation form will be sent to each reference. The reference form may be submitted with or without a letter of recommendation.</w:t>
      </w:r>
    </w:p>
    <w:p>
      <w:pPr>
        <w:pStyle w:val="BodyText"/>
        <w:spacing w:line="292" w:lineRule="exact"/>
        <w:ind w:left="859"/>
      </w:pPr>
      <w:r>
        <w:rPr/>
        <w:t>-Professional Goal Statement. Answer the following questions (maximum 2 pages for each question):</w:t>
      </w:r>
    </w:p>
    <w:p>
      <w:pPr>
        <w:pStyle w:val="ListParagraph"/>
        <w:numPr>
          <w:ilvl w:val="0"/>
          <w:numId w:val="1"/>
        </w:numPr>
        <w:tabs>
          <w:tab w:pos="1692" w:val="left" w:leader="none"/>
        </w:tabs>
        <w:spacing w:line="242" w:lineRule="auto" w:before="0" w:after="0"/>
        <w:ind w:left="1691" w:right="212" w:hanging="360"/>
        <w:jc w:val="both"/>
        <w:rPr>
          <w:sz w:val="24"/>
        </w:rPr>
      </w:pPr>
      <w:r>
        <w:rPr>
          <w:sz w:val="24"/>
        </w:rPr>
        <w:t>Choose and describe a current social problem. How can social workers address this problem? What are the ethical considerations that must be kept in mind in addressing this issue? (2 pages)</w:t>
      </w:r>
    </w:p>
    <w:p>
      <w:pPr>
        <w:pStyle w:val="ListParagraph"/>
        <w:numPr>
          <w:ilvl w:val="0"/>
          <w:numId w:val="1"/>
        </w:numPr>
        <w:tabs>
          <w:tab w:pos="1692" w:val="left" w:leader="none"/>
        </w:tabs>
        <w:spacing w:line="240" w:lineRule="auto" w:before="0" w:after="0"/>
        <w:ind w:left="1691" w:right="212" w:hanging="360"/>
        <w:jc w:val="both"/>
        <w:rPr>
          <w:sz w:val="24"/>
        </w:rPr>
      </w:pPr>
      <w:r>
        <w:rPr>
          <w:sz w:val="24"/>
        </w:rPr>
        <w:t>What significant life experiences or circumstances have influenced the development of your interest in social work? What are your social work related career goals? If you have trained or worked in another field, why are you considering changing your career? (2</w:t>
      </w:r>
      <w:r>
        <w:rPr>
          <w:spacing w:val="-5"/>
          <w:sz w:val="24"/>
        </w:rPr>
        <w:t> </w:t>
      </w:r>
      <w:r>
        <w:rPr>
          <w:sz w:val="24"/>
        </w:rPr>
        <w:t>pages)</w:t>
      </w:r>
    </w:p>
    <w:p>
      <w:pPr>
        <w:pStyle w:val="BodyText"/>
        <w:rPr>
          <w:sz w:val="28"/>
        </w:rPr>
      </w:pPr>
    </w:p>
    <w:p>
      <w:pPr>
        <w:pStyle w:val="BodyText"/>
        <w:spacing w:before="11"/>
        <w:rPr>
          <w:sz w:val="34"/>
        </w:rPr>
      </w:pPr>
    </w:p>
    <w:p>
      <w:pPr>
        <w:pStyle w:val="Heading2"/>
        <w:ind w:left="859"/>
      </w:pPr>
      <w:r>
        <w:rPr>
          <w:color w:val="1F497C"/>
        </w:rPr>
        <w:t>REQUIREMENTS FOR ADMISSION</w:t>
      </w:r>
    </w:p>
    <w:p>
      <w:pPr>
        <w:pStyle w:val="BodyText"/>
        <w:spacing w:before="240"/>
        <w:ind w:left="860" w:right="214"/>
        <w:jc w:val="both"/>
      </w:pPr>
      <w:r>
        <w:rPr/>
        <w:t>A faculty committee of no less than two members will determine admission to the Master of Social Work program. Admission will require two votes in favor of the candidate from members of the committee. In the case of a split vote, a third review will be completed. The following is necessary for application:</w:t>
      </w:r>
    </w:p>
    <w:p>
      <w:pPr>
        <w:spacing w:after="0"/>
        <w:jc w:val="both"/>
        <w:sectPr>
          <w:pgSz w:w="12240" w:h="15840"/>
          <w:pgMar w:header="0" w:footer="1108" w:top="1380" w:bottom="1300" w:left="300" w:right="920"/>
        </w:sectPr>
      </w:pPr>
    </w:p>
    <w:p>
      <w:pPr>
        <w:pStyle w:val="ListParagraph"/>
        <w:numPr>
          <w:ilvl w:val="0"/>
          <w:numId w:val="2"/>
        </w:numPr>
        <w:tabs>
          <w:tab w:pos="1581" w:val="left" w:leader="none"/>
        </w:tabs>
        <w:spacing w:line="240" w:lineRule="auto" w:before="73" w:after="0"/>
        <w:ind w:left="1580" w:right="0" w:hanging="360"/>
        <w:jc w:val="left"/>
        <w:rPr>
          <w:sz w:val="24"/>
        </w:rPr>
      </w:pPr>
      <w:r>
        <w:rPr>
          <w:sz w:val="24"/>
        </w:rPr>
        <w:t>A baccalaureate degree from an accredited college oruniversity.</w:t>
      </w:r>
    </w:p>
    <w:p>
      <w:pPr>
        <w:pStyle w:val="ListParagraph"/>
        <w:numPr>
          <w:ilvl w:val="0"/>
          <w:numId w:val="2"/>
        </w:numPr>
        <w:tabs>
          <w:tab w:pos="1581" w:val="left" w:leader="none"/>
        </w:tabs>
        <w:spacing w:line="240" w:lineRule="auto" w:before="0" w:after="0"/>
        <w:ind w:left="1580" w:right="806" w:hanging="360"/>
        <w:jc w:val="left"/>
        <w:rPr>
          <w:sz w:val="24"/>
        </w:rPr>
      </w:pPr>
      <w:r>
        <w:rPr>
          <w:sz w:val="24"/>
        </w:rPr>
        <w:t>Generally a grade point average of at least 3.0 or better (A=4.0) for the final 60 semester hours or 90 quarter hours of undergraduate study is necessary</w:t>
      </w:r>
      <w:r>
        <w:rPr>
          <w:spacing w:val="3"/>
          <w:sz w:val="24"/>
        </w:rPr>
        <w:t> </w:t>
      </w:r>
      <w:r>
        <w:rPr>
          <w:sz w:val="24"/>
        </w:rPr>
        <w:t>forconsideration.</w:t>
      </w:r>
    </w:p>
    <w:p>
      <w:pPr>
        <w:pStyle w:val="ListParagraph"/>
        <w:numPr>
          <w:ilvl w:val="0"/>
          <w:numId w:val="2"/>
        </w:numPr>
        <w:tabs>
          <w:tab w:pos="1581" w:val="left" w:leader="none"/>
        </w:tabs>
        <w:spacing w:line="244" w:lineRule="auto" w:before="0" w:after="0"/>
        <w:ind w:left="1580" w:right="987" w:hanging="360"/>
        <w:jc w:val="left"/>
        <w:rPr>
          <w:sz w:val="24"/>
        </w:rPr>
      </w:pPr>
      <w:r>
        <w:rPr>
          <w:sz w:val="24"/>
        </w:rPr>
        <w:t>Submission of GRE test scores or Praxis Core Academic Skills for Educators writing test; admission is</w:t>
      </w:r>
      <w:r>
        <w:rPr>
          <w:spacing w:val="-10"/>
          <w:sz w:val="24"/>
        </w:rPr>
        <w:t> </w:t>
      </w:r>
      <w:r>
        <w:rPr>
          <w:sz w:val="24"/>
        </w:rPr>
        <w:t>competitive.</w:t>
      </w:r>
    </w:p>
    <w:p>
      <w:pPr>
        <w:pStyle w:val="ListParagraph"/>
        <w:numPr>
          <w:ilvl w:val="0"/>
          <w:numId w:val="2"/>
        </w:numPr>
        <w:tabs>
          <w:tab w:pos="1581" w:val="left" w:leader="none"/>
        </w:tabs>
        <w:spacing w:line="240" w:lineRule="auto" w:before="0" w:after="0"/>
        <w:ind w:left="1580" w:right="963" w:hanging="360"/>
        <w:jc w:val="left"/>
        <w:rPr>
          <w:sz w:val="24"/>
        </w:rPr>
      </w:pPr>
      <w:r>
        <w:rPr>
          <w:sz w:val="24"/>
        </w:rPr>
        <w:t>Experience in a Social Work related field as a paid employee, volunteer or researcher is desirable.</w:t>
      </w:r>
    </w:p>
    <w:p>
      <w:pPr>
        <w:pStyle w:val="ListParagraph"/>
        <w:numPr>
          <w:ilvl w:val="0"/>
          <w:numId w:val="2"/>
        </w:numPr>
        <w:tabs>
          <w:tab w:pos="1581" w:val="left" w:leader="none"/>
        </w:tabs>
        <w:spacing w:line="293" w:lineRule="exact" w:before="0" w:after="0"/>
        <w:ind w:left="1580" w:right="0" w:hanging="360"/>
        <w:jc w:val="left"/>
        <w:rPr>
          <w:sz w:val="24"/>
        </w:rPr>
      </w:pPr>
      <w:r>
        <w:rPr>
          <w:sz w:val="24"/>
        </w:rPr>
        <w:t>A professional goal</w:t>
      </w:r>
      <w:r>
        <w:rPr>
          <w:spacing w:val="-12"/>
          <w:sz w:val="24"/>
        </w:rPr>
        <w:t> </w:t>
      </w:r>
      <w:r>
        <w:rPr>
          <w:sz w:val="24"/>
        </w:rPr>
        <w:t>statement.</w:t>
      </w:r>
    </w:p>
    <w:p>
      <w:pPr>
        <w:pStyle w:val="ListParagraph"/>
        <w:numPr>
          <w:ilvl w:val="0"/>
          <w:numId w:val="2"/>
        </w:numPr>
        <w:tabs>
          <w:tab w:pos="1581" w:val="left" w:leader="none"/>
        </w:tabs>
        <w:spacing w:line="240" w:lineRule="auto" w:before="0" w:after="0"/>
        <w:ind w:left="1580" w:right="0" w:hanging="360"/>
        <w:jc w:val="left"/>
        <w:rPr>
          <w:sz w:val="24"/>
        </w:rPr>
      </w:pPr>
      <w:r>
        <w:rPr>
          <w:sz w:val="24"/>
        </w:rPr>
        <w:t>A professional</w:t>
      </w:r>
      <w:r>
        <w:rPr>
          <w:spacing w:val="-10"/>
          <w:sz w:val="24"/>
        </w:rPr>
        <w:t> </w:t>
      </w:r>
      <w:r>
        <w:rPr>
          <w:sz w:val="24"/>
        </w:rPr>
        <w:t>resume.</w:t>
      </w:r>
    </w:p>
    <w:p>
      <w:pPr>
        <w:pStyle w:val="ListParagraph"/>
        <w:numPr>
          <w:ilvl w:val="0"/>
          <w:numId w:val="2"/>
        </w:numPr>
        <w:tabs>
          <w:tab w:pos="1581" w:val="left" w:leader="none"/>
        </w:tabs>
        <w:spacing w:line="240" w:lineRule="auto" w:before="0" w:after="0"/>
        <w:ind w:left="1580" w:right="0" w:hanging="360"/>
        <w:jc w:val="left"/>
        <w:rPr>
          <w:sz w:val="24"/>
        </w:rPr>
      </w:pPr>
      <w:r>
        <w:rPr>
          <w:sz w:val="24"/>
        </w:rPr>
        <w:t>Three professional</w:t>
      </w:r>
      <w:r>
        <w:rPr>
          <w:spacing w:val="-12"/>
          <w:sz w:val="24"/>
        </w:rPr>
        <w:t> </w:t>
      </w:r>
      <w:r>
        <w:rPr>
          <w:sz w:val="24"/>
        </w:rPr>
        <w:t>references.</w:t>
      </w:r>
    </w:p>
    <w:p>
      <w:pPr>
        <w:pStyle w:val="Heading2"/>
        <w:spacing w:before="232"/>
        <w:ind w:left="859"/>
        <w:jc w:val="both"/>
      </w:pPr>
      <w:r>
        <w:rPr>
          <w:color w:val="1F497C"/>
        </w:rPr>
        <w:t>REQUIREMENTS FOR ADMISSION TO ADVANCED STANDING</w:t>
      </w:r>
    </w:p>
    <w:p>
      <w:pPr>
        <w:pStyle w:val="BodyText"/>
        <w:spacing w:before="240"/>
        <w:ind w:left="860" w:right="212"/>
        <w:jc w:val="both"/>
      </w:pPr>
      <w:r>
        <w:rPr/>
        <w:t>In addition to meeting all of the requirements above, students applying to the advanced standing program must also meet the following requirements:</w:t>
      </w:r>
    </w:p>
    <w:p>
      <w:pPr>
        <w:pStyle w:val="ListParagraph"/>
        <w:numPr>
          <w:ilvl w:val="0"/>
          <w:numId w:val="3"/>
        </w:numPr>
        <w:tabs>
          <w:tab w:pos="1581" w:val="left" w:leader="none"/>
        </w:tabs>
        <w:spacing w:line="240" w:lineRule="auto" w:before="0" w:after="0"/>
        <w:ind w:left="1580" w:right="214" w:hanging="360"/>
        <w:jc w:val="both"/>
        <w:rPr>
          <w:sz w:val="24"/>
        </w:rPr>
      </w:pPr>
      <w:r>
        <w:rPr>
          <w:sz w:val="24"/>
        </w:rPr>
        <w:t>A</w:t>
      </w:r>
      <w:r>
        <w:rPr>
          <w:spacing w:val="-7"/>
          <w:sz w:val="24"/>
        </w:rPr>
        <w:t> </w:t>
      </w:r>
      <w:r>
        <w:rPr>
          <w:sz w:val="24"/>
        </w:rPr>
        <w:t>baccalaureate</w:t>
      </w:r>
      <w:r>
        <w:rPr>
          <w:spacing w:val="-7"/>
          <w:sz w:val="24"/>
        </w:rPr>
        <w:t> </w:t>
      </w:r>
      <w:r>
        <w:rPr>
          <w:sz w:val="24"/>
        </w:rPr>
        <w:t>degree</w:t>
      </w:r>
      <w:r>
        <w:rPr>
          <w:spacing w:val="-7"/>
          <w:sz w:val="24"/>
        </w:rPr>
        <w:t> </w:t>
      </w:r>
      <w:r>
        <w:rPr>
          <w:sz w:val="24"/>
        </w:rPr>
        <w:t>in</w:t>
      </w:r>
      <w:r>
        <w:rPr>
          <w:spacing w:val="-7"/>
          <w:sz w:val="24"/>
        </w:rPr>
        <w:t> </w:t>
      </w:r>
      <w:r>
        <w:rPr>
          <w:sz w:val="24"/>
        </w:rPr>
        <w:t>social</w:t>
      </w:r>
      <w:r>
        <w:rPr>
          <w:spacing w:val="-7"/>
          <w:sz w:val="24"/>
        </w:rPr>
        <w:t> </w:t>
      </w:r>
      <w:r>
        <w:rPr>
          <w:sz w:val="24"/>
        </w:rPr>
        <w:t>work</w:t>
      </w:r>
      <w:r>
        <w:rPr>
          <w:spacing w:val="-7"/>
          <w:sz w:val="24"/>
        </w:rPr>
        <w:t> </w:t>
      </w:r>
      <w:r>
        <w:rPr>
          <w:sz w:val="24"/>
        </w:rPr>
        <w:t>from</w:t>
      </w:r>
      <w:r>
        <w:rPr>
          <w:spacing w:val="-6"/>
          <w:sz w:val="24"/>
        </w:rPr>
        <w:t> </w:t>
      </w:r>
      <w:r>
        <w:rPr>
          <w:sz w:val="24"/>
        </w:rPr>
        <w:t>a</w:t>
      </w:r>
      <w:r>
        <w:rPr>
          <w:spacing w:val="-7"/>
          <w:sz w:val="24"/>
        </w:rPr>
        <w:t> </w:t>
      </w:r>
      <w:r>
        <w:rPr>
          <w:sz w:val="24"/>
        </w:rPr>
        <w:t>program</w:t>
      </w:r>
      <w:r>
        <w:rPr>
          <w:spacing w:val="-7"/>
          <w:sz w:val="24"/>
        </w:rPr>
        <w:t> </w:t>
      </w:r>
      <w:r>
        <w:rPr>
          <w:sz w:val="24"/>
        </w:rPr>
        <w:t>accredited</w:t>
      </w:r>
      <w:r>
        <w:rPr>
          <w:spacing w:val="-7"/>
          <w:sz w:val="24"/>
        </w:rPr>
        <w:t> </w:t>
      </w:r>
      <w:r>
        <w:rPr>
          <w:sz w:val="24"/>
        </w:rPr>
        <w:t>by</w:t>
      </w:r>
      <w:r>
        <w:rPr>
          <w:spacing w:val="-7"/>
          <w:sz w:val="24"/>
        </w:rPr>
        <w:t> </w:t>
      </w:r>
      <w:r>
        <w:rPr>
          <w:sz w:val="24"/>
        </w:rPr>
        <w:t>the</w:t>
      </w:r>
      <w:r>
        <w:rPr>
          <w:spacing w:val="-7"/>
          <w:sz w:val="24"/>
        </w:rPr>
        <w:t> </w:t>
      </w:r>
      <w:r>
        <w:rPr>
          <w:sz w:val="24"/>
        </w:rPr>
        <w:t>Council</w:t>
      </w:r>
      <w:r>
        <w:rPr>
          <w:spacing w:val="-6"/>
          <w:sz w:val="24"/>
        </w:rPr>
        <w:t> </w:t>
      </w:r>
      <w:r>
        <w:rPr>
          <w:sz w:val="24"/>
        </w:rPr>
        <w:t>on</w:t>
      </w:r>
      <w:r>
        <w:rPr>
          <w:spacing w:val="-7"/>
          <w:sz w:val="24"/>
        </w:rPr>
        <w:t> </w:t>
      </w:r>
      <w:r>
        <w:rPr>
          <w:sz w:val="24"/>
        </w:rPr>
        <w:t>Social</w:t>
      </w:r>
      <w:r>
        <w:rPr>
          <w:spacing w:val="-7"/>
          <w:sz w:val="24"/>
        </w:rPr>
        <w:t> </w:t>
      </w:r>
      <w:r>
        <w:rPr>
          <w:sz w:val="24"/>
        </w:rPr>
        <w:t>Work Education (CSWE) within five years of application to the MSW program. This requirement may be waived if the applicant is a Licensed Baccalaureate Social Worker</w:t>
      </w:r>
      <w:r>
        <w:rPr>
          <w:spacing w:val="-23"/>
          <w:sz w:val="24"/>
        </w:rPr>
        <w:t> </w:t>
      </w:r>
      <w:r>
        <w:rPr>
          <w:sz w:val="24"/>
        </w:rPr>
        <w:t>(LBSW).</w:t>
      </w:r>
    </w:p>
    <w:p>
      <w:pPr>
        <w:pStyle w:val="ListParagraph"/>
        <w:numPr>
          <w:ilvl w:val="0"/>
          <w:numId w:val="3"/>
        </w:numPr>
        <w:tabs>
          <w:tab w:pos="1581" w:val="left" w:leader="none"/>
        </w:tabs>
        <w:spacing w:line="292" w:lineRule="exact" w:before="0" w:after="0"/>
        <w:ind w:left="1580" w:right="0" w:hanging="360"/>
        <w:jc w:val="left"/>
        <w:rPr>
          <w:sz w:val="24"/>
        </w:rPr>
      </w:pPr>
      <w:r>
        <w:rPr>
          <w:sz w:val="24"/>
        </w:rPr>
        <w:t>A minimum undergraduate GPA of</w:t>
      </w:r>
      <w:r>
        <w:rPr>
          <w:spacing w:val="-20"/>
          <w:sz w:val="24"/>
        </w:rPr>
        <w:t> </w:t>
      </w:r>
      <w:r>
        <w:rPr>
          <w:sz w:val="24"/>
        </w:rPr>
        <w:t>3.0.</w:t>
      </w:r>
    </w:p>
    <w:p>
      <w:pPr>
        <w:pStyle w:val="ListParagraph"/>
        <w:numPr>
          <w:ilvl w:val="0"/>
          <w:numId w:val="3"/>
        </w:numPr>
        <w:tabs>
          <w:tab w:pos="1581" w:val="left" w:leader="none"/>
        </w:tabs>
        <w:spacing w:line="240" w:lineRule="auto" w:before="0" w:after="0"/>
        <w:ind w:left="1580" w:right="0" w:hanging="360"/>
        <w:jc w:val="left"/>
        <w:rPr>
          <w:sz w:val="24"/>
        </w:rPr>
      </w:pPr>
      <w:r>
        <w:rPr>
          <w:sz w:val="24"/>
        </w:rPr>
        <w:t>A minimum GPA in 3.3 in social work</w:t>
      </w:r>
      <w:r>
        <w:rPr>
          <w:spacing w:val="-10"/>
          <w:sz w:val="24"/>
        </w:rPr>
        <w:t> </w:t>
      </w:r>
      <w:r>
        <w:rPr>
          <w:sz w:val="24"/>
        </w:rPr>
        <w:t>courses.</w:t>
      </w:r>
    </w:p>
    <w:p>
      <w:pPr>
        <w:pStyle w:val="BodyText"/>
        <w:rPr>
          <w:sz w:val="28"/>
        </w:rPr>
      </w:pPr>
    </w:p>
    <w:p>
      <w:pPr>
        <w:pStyle w:val="Heading2"/>
        <w:spacing w:before="190"/>
        <w:ind w:left="859"/>
      </w:pPr>
      <w:r>
        <w:rPr>
          <w:color w:val="1F497C"/>
        </w:rPr>
        <w:t>READMISSION</w:t>
      </w:r>
    </w:p>
    <w:p>
      <w:pPr>
        <w:pStyle w:val="BodyText"/>
        <w:spacing w:before="240"/>
        <w:ind w:left="859" w:right="210"/>
        <w:jc w:val="both"/>
      </w:pPr>
      <w:r>
        <w:rPr/>
        <w:t>Once accepted into a degree program, a student is expected to enroll every semester thereafter (excluding summer sessions) and make satisfactory progress toward the degree. A student who does not enroll for one semester must apply for readmission. Submission of an application for readmission does not ensure acceptance. An application for readmission may be rejected or additional requirements may be imposed on the student.</w:t>
      </w:r>
    </w:p>
    <w:p>
      <w:pPr>
        <w:pStyle w:val="BodyText"/>
        <w:rPr>
          <w:sz w:val="28"/>
        </w:rPr>
      </w:pPr>
    </w:p>
    <w:p>
      <w:pPr>
        <w:pStyle w:val="BodyText"/>
        <w:spacing w:before="7"/>
        <w:rPr>
          <w:sz w:val="26"/>
        </w:rPr>
      </w:pPr>
    </w:p>
    <w:p>
      <w:pPr>
        <w:pStyle w:val="Heading2"/>
        <w:ind w:left="860"/>
      </w:pPr>
      <w:r>
        <w:rPr>
          <w:color w:val="1F497C"/>
        </w:rPr>
        <w:t>ADMISSION OF INTERNATIONAL STUDENTS</w:t>
      </w:r>
    </w:p>
    <w:p>
      <w:pPr>
        <w:pStyle w:val="BodyText"/>
        <w:spacing w:before="240"/>
        <w:ind w:left="859" w:right="210"/>
        <w:jc w:val="both"/>
      </w:pPr>
      <w:r>
        <w:rPr/>
        <w:t>The University of Memphis believes that the presence of international students on campus enriches the educational environment for all. The University is authorized under Federal law to enroll non- immigrant alien students on the “F-1” student visa.</w:t>
      </w:r>
    </w:p>
    <w:p>
      <w:pPr>
        <w:pStyle w:val="BodyText"/>
        <w:spacing w:before="239"/>
        <w:ind w:left="860" w:right="214"/>
        <w:jc w:val="both"/>
      </w:pPr>
      <w:r>
        <w:rPr/>
        <w:t>International applicants should review the requirements for admission on the </w:t>
      </w:r>
      <w:r>
        <w:rPr>
          <w:color w:val="0000FF"/>
          <w:u w:val="single" w:color="0000FF"/>
        </w:rPr>
        <w:t>University of Memphis</w:t>
      </w:r>
      <w:r>
        <w:rPr>
          <w:color w:val="0000FF"/>
        </w:rPr>
        <w:t> </w:t>
      </w:r>
      <w:r>
        <w:rPr>
          <w:color w:val="0000FF"/>
          <w:u w:val="single" w:color="0000FF"/>
        </w:rPr>
        <w:t>Graduate School</w:t>
      </w:r>
      <w:r>
        <w:rPr>
          <w:color w:val="0000FF"/>
        </w:rPr>
        <w:t> </w:t>
      </w:r>
      <w:r>
        <w:rPr/>
        <w:t>homepage (</w:t>
      </w:r>
      <w:hyperlink r:id="rId8">
        <w:r>
          <w:rPr>
            <w:color w:val="0000FF"/>
            <w:u w:val="single" w:color="0000FF"/>
          </w:rPr>
          <w:t>http://academics.memphis.edu/gradschool/gradpr1.htm</w:t>
        </w:r>
        <w:r>
          <w:rPr/>
          <w:t>).</w:t>
        </w:r>
      </w:hyperlink>
    </w:p>
    <w:p>
      <w:pPr>
        <w:pStyle w:val="BodyText"/>
        <w:rPr>
          <w:sz w:val="20"/>
        </w:rPr>
      </w:pPr>
    </w:p>
    <w:p>
      <w:pPr>
        <w:pStyle w:val="BodyText"/>
        <w:spacing w:before="1"/>
        <w:rPr>
          <w:sz w:val="15"/>
        </w:rPr>
      </w:pPr>
    </w:p>
    <w:p>
      <w:pPr>
        <w:pStyle w:val="Heading2"/>
        <w:spacing w:before="100"/>
        <w:ind w:left="860"/>
      </w:pPr>
      <w:r>
        <w:rPr>
          <w:color w:val="1F497C"/>
        </w:rPr>
        <w:t>RESIDENCY CLASSIFICATION</w:t>
      </w:r>
    </w:p>
    <w:p>
      <w:pPr>
        <w:pStyle w:val="BodyText"/>
        <w:spacing w:before="240"/>
        <w:ind w:left="860"/>
      </w:pPr>
      <w:r>
        <w:rPr/>
        <w:t>All determinations concerning the classification of students as in-state or out-of-state for fee purposes are made in the Admissions Office. The determinations are based on regulations and guidelines of the</w:t>
      </w:r>
    </w:p>
    <w:p>
      <w:pPr>
        <w:spacing w:after="0"/>
        <w:sectPr>
          <w:pgSz w:w="12240" w:h="15840"/>
          <w:pgMar w:header="0" w:footer="1108" w:top="1380" w:bottom="1300" w:left="300" w:right="920"/>
        </w:sectPr>
      </w:pPr>
    </w:p>
    <w:p>
      <w:pPr>
        <w:pStyle w:val="BodyText"/>
        <w:spacing w:before="73"/>
        <w:ind w:left="860" w:right="211"/>
        <w:jc w:val="both"/>
      </w:pPr>
      <w:r>
        <w:rPr/>
        <w:t>Tennessee Board of Regents. If, for any reason, there is a question about a student’s state residency classification for fee payment purposes, the student is responsible for requesting a review of his/her residency status before classes begin. Requests for review should be made to the Admissions Office.</w:t>
      </w:r>
    </w:p>
    <w:p>
      <w:pPr>
        <w:pStyle w:val="BodyText"/>
        <w:spacing w:before="3"/>
        <w:rPr>
          <w:sz w:val="39"/>
        </w:rPr>
      </w:pPr>
    </w:p>
    <w:p>
      <w:pPr>
        <w:pStyle w:val="Heading2"/>
        <w:spacing w:line="436" w:lineRule="auto"/>
        <w:ind w:left="860" w:right="8276"/>
      </w:pPr>
      <w:r>
        <w:rPr>
          <w:color w:val="1F497C"/>
        </w:rPr>
        <w:t>FINANCIAL AID TUITION AND FEES</w:t>
      </w:r>
    </w:p>
    <w:p>
      <w:pPr>
        <w:pStyle w:val="BodyText"/>
        <w:ind w:left="860" w:right="667"/>
      </w:pPr>
      <w:r>
        <w:rPr/>
        <w:t>Information on current tuition and fees can be obtained from the University of Memphis </w:t>
      </w:r>
      <w:r>
        <w:rPr>
          <w:color w:val="0000FF"/>
          <w:u w:val="single" w:color="0000FF"/>
        </w:rPr>
        <w:t>Bursar’s</w:t>
      </w:r>
      <w:r>
        <w:rPr>
          <w:color w:val="0000FF"/>
        </w:rPr>
        <w:t> </w:t>
      </w:r>
      <w:r>
        <w:rPr>
          <w:color w:val="0000FF"/>
          <w:u w:val="single" w:color="0000FF"/>
        </w:rPr>
        <w:t>Office</w:t>
      </w:r>
      <w:r>
        <w:rPr>
          <w:color w:val="0000FF"/>
        </w:rPr>
        <w:t> </w:t>
      </w:r>
      <w:r>
        <w:rPr/>
        <w:t>website (</w:t>
      </w:r>
      <w:hyperlink r:id="rId9">
        <w:r>
          <w:rPr>
            <w:color w:val="0000FF"/>
            <w:u w:val="single" w:color="0000FF"/>
          </w:rPr>
          <w:t>http://bf.memphis.edu/finance/bursar/</w:t>
        </w:r>
        <w:r>
          <w:rPr/>
          <w:t>).</w:t>
        </w:r>
      </w:hyperlink>
    </w:p>
    <w:p>
      <w:pPr>
        <w:pStyle w:val="BodyText"/>
        <w:spacing w:before="239"/>
        <w:ind w:left="859" w:right="212"/>
        <w:jc w:val="both"/>
      </w:pPr>
      <w:r>
        <w:rPr/>
        <w:t>Graduate students may be eligible for a variety of financial aid options. Students should complete the Free Application for Federal Student Aid (</w:t>
      </w:r>
      <w:r>
        <w:rPr>
          <w:color w:val="0000FF"/>
          <w:u w:val="single" w:color="0000FF"/>
        </w:rPr>
        <w:t>FAFSA</w:t>
      </w:r>
      <w:r>
        <w:rPr/>
        <w:t>). For general financial aid information for graduate students, including Assistantships, Fellowships, Work Study Programs, Awards and Scholarships, students should inquire at the Student Financial Aid office (</w:t>
      </w:r>
      <w:hyperlink r:id="rId10">
        <w:r>
          <w:rPr>
            <w:color w:val="0000FF"/>
            <w:u w:val="single" w:color="0000FF"/>
          </w:rPr>
          <w:t>www.memphis.edu/FinancialAid/</w:t>
        </w:r>
        <w:r>
          <w:rPr/>
          <w:t>).</w:t>
        </w:r>
      </w:hyperlink>
      <w:r>
        <w:rPr/>
        <w:t> Students are encouraged to investigate opportunities for student aid offered by the University of Memphis, including loans, scholarships and assistantship opportunities.</w:t>
      </w:r>
    </w:p>
    <w:p>
      <w:pPr>
        <w:pStyle w:val="BodyText"/>
        <w:rPr>
          <w:sz w:val="28"/>
        </w:rPr>
      </w:pPr>
    </w:p>
    <w:p>
      <w:pPr>
        <w:pStyle w:val="BodyText"/>
        <w:spacing w:before="3"/>
        <w:rPr>
          <w:sz w:val="35"/>
        </w:rPr>
      </w:pPr>
    </w:p>
    <w:p>
      <w:pPr>
        <w:pStyle w:val="Heading2"/>
        <w:ind w:left="860"/>
      </w:pPr>
      <w:r>
        <w:rPr>
          <w:color w:val="1F497C"/>
        </w:rPr>
        <w:t>FEDERAL AID</w:t>
      </w:r>
    </w:p>
    <w:p>
      <w:pPr>
        <w:pStyle w:val="BodyText"/>
        <w:spacing w:before="240"/>
        <w:ind w:left="860" w:right="58"/>
      </w:pPr>
      <w:r>
        <w:rPr/>
        <w:t>Limited federal assistance, in the form of Stafford Loans, is available. Contact the </w:t>
      </w:r>
      <w:r>
        <w:rPr>
          <w:color w:val="0000FF"/>
          <w:u w:val="single" w:color="0000FF"/>
        </w:rPr>
        <w:t>Office of Student Aid</w:t>
      </w:r>
      <w:r>
        <w:rPr>
          <w:color w:val="0000FF"/>
        </w:rPr>
        <w:t> </w:t>
      </w:r>
      <w:r>
        <w:rPr/>
        <w:t>at (901) 678-2303 for more information.</w:t>
      </w:r>
    </w:p>
    <w:p>
      <w:pPr>
        <w:pStyle w:val="BodyText"/>
        <w:spacing w:before="239"/>
        <w:ind w:left="860" w:right="211"/>
        <w:jc w:val="both"/>
      </w:pPr>
      <w:r>
        <w:rPr/>
        <w:t>Some students may seek aid through VA benefits or Title IV funds. VA benefits and Title IV funds for enrollment fees are subject to cancellation and immediate repayment if the recipient stops attending, whether or not he/she has withdrawn or dropped a course. The instructor will report the last known date of attendance as the “unofficial withdrawal date.” Students who stopped attending will be assigned</w:t>
      </w:r>
      <w:r>
        <w:rPr>
          <w:spacing w:val="-5"/>
        </w:rPr>
        <w:t> </w:t>
      </w:r>
      <w:r>
        <w:rPr/>
        <w:t>a</w:t>
      </w:r>
      <w:r>
        <w:rPr>
          <w:spacing w:val="-5"/>
        </w:rPr>
        <w:t> </w:t>
      </w:r>
      <w:r>
        <w:rPr/>
        <w:t>grade</w:t>
      </w:r>
      <w:r>
        <w:rPr>
          <w:spacing w:val="-4"/>
        </w:rPr>
        <w:t> </w:t>
      </w:r>
      <w:r>
        <w:rPr/>
        <w:t>of</w:t>
      </w:r>
      <w:r>
        <w:rPr>
          <w:spacing w:val="-5"/>
        </w:rPr>
        <w:t> </w:t>
      </w:r>
      <w:r>
        <w:rPr/>
        <w:t>“F”</w:t>
      </w:r>
      <w:r>
        <w:rPr>
          <w:spacing w:val="-5"/>
        </w:rPr>
        <w:t> </w:t>
      </w:r>
      <w:r>
        <w:rPr/>
        <w:t>in</w:t>
      </w:r>
      <w:r>
        <w:rPr>
          <w:spacing w:val="-4"/>
        </w:rPr>
        <w:t> </w:t>
      </w:r>
      <w:r>
        <w:rPr/>
        <w:t>courses</w:t>
      </w:r>
      <w:r>
        <w:rPr>
          <w:spacing w:val="-5"/>
        </w:rPr>
        <w:t> </w:t>
      </w:r>
      <w:r>
        <w:rPr/>
        <w:t>from</w:t>
      </w:r>
      <w:r>
        <w:rPr>
          <w:spacing w:val="-5"/>
        </w:rPr>
        <w:t> </w:t>
      </w:r>
      <w:r>
        <w:rPr/>
        <w:t>which</w:t>
      </w:r>
      <w:r>
        <w:rPr>
          <w:spacing w:val="-4"/>
        </w:rPr>
        <w:t> </w:t>
      </w:r>
      <w:r>
        <w:rPr/>
        <w:t>they</w:t>
      </w:r>
      <w:r>
        <w:rPr>
          <w:spacing w:val="-5"/>
        </w:rPr>
        <w:t> </w:t>
      </w:r>
      <w:r>
        <w:rPr/>
        <w:t>have</w:t>
      </w:r>
      <w:r>
        <w:rPr>
          <w:spacing w:val="-5"/>
        </w:rPr>
        <w:t> </w:t>
      </w:r>
      <w:r>
        <w:rPr/>
        <w:t>not</w:t>
      </w:r>
      <w:r>
        <w:rPr>
          <w:spacing w:val="-4"/>
        </w:rPr>
        <w:t> </w:t>
      </w:r>
      <w:r>
        <w:rPr/>
        <w:t>withdrawn</w:t>
      </w:r>
      <w:r>
        <w:rPr>
          <w:spacing w:val="-5"/>
        </w:rPr>
        <w:t> </w:t>
      </w:r>
      <w:r>
        <w:rPr/>
        <w:t>according</w:t>
      </w:r>
      <w:r>
        <w:rPr>
          <w:spacing w:val="-5"/>
        </w:rPr>
        <w:t> </w:t>
      </w:r>
      <w:r>
        <w:rPr/>
        <w:t>to</w:t>
      </w:r>
      <w:r>
        <w:rPr>
          <w:spacing w:val="-4"/>
        </w:rPr>
        <w:t> </w:t>
      </w:r>
      <w:r>
        <w:rPr/>
        <w:t>the</w:t>
      </w:r>
      <w:r>
        <w:rPr>
          <w:spacing w:val="-5"/>
        </w:rPr>
        <w:t> </w:t>
      </w:r>
      <w:r>
        <w:rPr/>
        <w:t>policies</w:t>
      </w:r>
      <w:r>
        <w:rPr>
          <w:spacing w:val="-5"/>
        </w:rPr>
        <w:t> </w:t>
      </w:r>
      <w:r>
        <w:rPr/>
        <w:t>of</w:t>
      </w:r>
      <w:r>
        <w:rPr>
          <w:spacing w:val="-4"/>
        </w:rPr>
        <w:t> </w:t>
      </w:r>
      <w:r>
        <w:rPr/>
        <w:t>the university.</w:t>
      </w:r>
    </w:p>
    <w:p>
      <w:pPr>
        <w:pStyle w:val="BodyText"/>
        <w:rPr>
          <w:sz w:val="28"/>
        </w:rPr>
      </w:pPr>
    </w:p>
    <w:p>
      <w:pPr>
        <w:pStyle w:val="BodyText"/>
        <w:spacing w:before="5"/>
        <w:rPr>
          <w:sz w:val="25"/>
        </w:rPr>
      </w:pPr>
    </w:p>
    <w:p>
      <w:pPr>
        <w:pStyle w:val="Heading2"/>
        <w:ind w:left="860"/>
      </w:pPr>
      <w:r>
        <w:rPr>
          <w:color w:val="1F497C"/>
        </w:rPr>
        <w:t>FUNDING YOUR MSW</w:t>
      </w:r>
    </w:p>
    <w:p>
      <w:pPr>
        <w:pStyle w:val="BodyText"/>
        <w:spacing w:before="115"/>
        <w:ind w:left="860" w:right="377"/>
      </w:pPr>
      <w:r>
        <w:rPr/>
        <w:t>There are many opportunities available for funding your MSW. The school maintains a list of current opportunities on the website. The list may be found here: </w:t>
      </w:r>
      <w:hyperlink r:id="rId11">
        <w:r>
          <w:rPr>
            <w:color w:val="0000FF"/>
            <w:u w:val="single" w:color="0000FF"/>
          </w:rPr>
          <w:t>http://www.memphis.edu/socialwork/graduate/funding.php</w:t>
        </w:r>
        <w:r>
          <w:rPr/>
          <w:t>.</w:t>
        </w:r>
      </w:hyperlink>
    </w:p>
    <w:p>
      <w:pPr>
        <w:pStyle w:val="BodyText"/>
        <w:rPr>
          <w:sz w:val="20"/>
        </w:rPr>
      </w:pPr>
    </w:p>
    <w:p>
      <w:pPr>
        <w:pStyle w:val="BodyText"/>
        <w:spacing w:before="8"/>
        <w:rPr>
          <w:sz w:val="23"/>
        </w:rPr>
      </w:pPr>
    </w:p>
    <w:p>
      <w:pPr>
        <w:pStyle w:val="Heading2"/>
        <w:spacing w:before="101"/>
        <w:ind w:left="860"/>
      </w:pPr>
      <w:r>
        <w:rPr>
          <w:color w:val="1F497C"/>
        </w:rPr>
        <w:t>GRADUATE ASSISTANTSHIPS</w:t>
      </w:r>
    </w:p>
    <w:p>
      <w:pPr>
        <w:pStyle w:val="BodyText"/>
        <w:spacing w:before="239"/>
        <w:ind w:left="860" w:right="210"/>
        <w:jc w:val="both"/>
      </w:pPr>
      <w:r>
        <w:rPr/>
        <w:t>Each year the School of Social Work awards a small number of graduate assistantships. Serving as a graduate assistant provides a stipend for the academic year plus a partial waiver of tuition and fees. The School has the option of awarding either part-time or full-time graduate assistantships.</w:t>
      </w:r>
    </w:p>
    <w:p>
      <w:pPr>
        <w:spacing w:after="0"/>
        <w:jc w:val="both"/>
        <w:sectPr>
          <w:pgSz w:w="12240" w:h="15840"/>
          <w:pgMar w:header="0" w:footer="1108" w:top="1380" w:bottom="1300" w:left="300" w:right="920"/>
        </w:sectPr>
      </w:pPr>
    </w:p>
    <w:p>
      <w:pPr>
        <w:pStyle w:val="BodyText"/>
        <w:spacing w:before="73"/>
        <w:ind w:left="860" w:right="211"/>
        <w:jc w:val="both"/>
      </w:pPr>
      <w:r>
        <w:rPr/>
        <w:t>Part-time assistantships waive at least $5000 in tuition and fees and provide half of the stipend. Both types of assistantships require the student to be enrolled as a full-time student.</w:t>
      </w:r>
    </w:p>
    <w:p>
      <w:pPr>
        <w:pStyle w:val="BodyText"/>
        <w:spacing w:before="240"/>
        <w:ind w:left="859" w:right="211"/>
        <w:jc w:val="both"/>
      </w:pPr>
      <w:r>
        <w:rPr/>
        <w:t>Social work graduate assistantships require weekly service to the School of 10-20 hours. This service normally takes the form of aiding one or more faculty members with their research or teaching responsibilities.</w:t>
      </w:r>
      <w:r>
        <w:rPr>
          <w:spacing w:val="-10"/>
        </w:rPr>
        <w:t> </w:t>
      </w:r>
      <w:r>
        <w:rPr/>
        <w:t>Appointments</w:t>
      </w:r>
      <w:r>
        <w:rPr>
          <w:spacing w:val="-10"/>
        </w:rPr>
        <w:t> </w:t>
      </w:r>
      <w:r>
        <w:rPr/>
        <w:t>of</w:t>
      </w:r>
      <w:r>
        <w:rPr>
          <w:spacing w:val="-9"/>
        </w:rPr>
        <w:t> </w:t>
      </w:r>
      <w:r>
        <w:rPr/>
        <w:t>graduate</w:t>
      </w:r>
      <w:r>
        <w:rPr>
          <w:spacing w:val="-10"/>
        </w:rPr>
        <w:t> </w:t>
      </w:r>
      <w:r>
        <w:rPr/>
        <w:t>assistants</w:t>
      </w:r>
      <w:r>
        <w:rPr>
          <w:spacing w:val="-9"/>
        </w:rPr>
        <w:t> </w:t>
      </w:r>
      <w:r>
        <w:rPr/>
        <w:t>are</w:t>
      </w:r>
      <w:r>
        <w:rPr>
          <w:spacing w:val="-10"/>
        </w:rPr>
        <w:t> </w:t>
      </w:r>
      <w:r>
        <w:rPr/>
        <w:t>made</w:t>
      </w:r>
      <w:r>
        <w:rPr>
          <w:spacing w:val="-9"/>
        </w:rPr>
        <w:t> </w:t>
      </w:r>
      <w:r>
        <w:rPr/>
        <w:t>on</w:t>
      </w:r>
      <w:r>
        <w:rPr>
          <w:spacing w:val="-10"/>
        </w:rPr>
        <w:t> </w:t>
      </w:r>
      <w:r>
        <w:rPr/>
        <w:t>an</w:t>
      </w:r>
      <w:r>
        <w:rPr>
          <w:spacing w:val="-10"/>
        </w:rPr>
        <w:t> </w:t>
      </w:r>
      <w:r>
        <w:rPr/>
        <w:t>annual</w:t>
      </w:r>
      <w:r>
        <w:rPr>
          <w:spacing w:val="-9"/>
        </w:rPr>
        <w:t> </w:t>
      </w:r>
      <w:r>
        <w:rPr/>
        <w:t>basis</w:t>
      </w:r>
      <w:r>
        <w:rPr>
          <w:spacing w:val="-10"/>
        </w:rPr>
        <w:t> </w:t>
      </w:r>
      <w:r>
        <w:rPr/>
        <w:t>but</w:t>
      </w:r>
      <w:r>
        <w:rPr>
          <w:spacing w:val="-9"/>
        </w:rPr>
        <w:t> </w:t>
      </w:r>
      <w:r>
        <w:rPr/>
        <w:t>may</w:t>
      </w:r>
      <w:r>
        <w:rPr>
          <w:spacing w:val="-10"/>
        </w:rPr>
        <w:t> </w:t>
      </w:r>
      <w:r>
        <w:rPr/>
        <w:t>be</w:t>
      </w:r>
      <w:r>
        <w:rPr>
          <w:spacing w:val="-9"/>
        </w:rPr>
        <w:t> </w:t>
      </w:r>
      <w:r>
        <w:rPr/>
        <w:t>renewed by the School for one additional year, depending on</w:t>
      </w:r>
      <w:r>
        <w:rPr>
          <w:spacing w:val="-2"/>
        </w:rPr>
        <w:t> </w:t>
      </w:r>
      <w:r>
        <w:rPr/>
        <w:t>performance.</w:t>
      </w:r>
    </w:p>
    <w:p>
      <w:pPr>
        <w:pStyle w:val="BodyText"/>
        <w:spacing w:before="239"/>
        <w:ind w:left="859" w:right="210"/>
        <w:jc w:val="both"/>
      </w:pPr>
      <w:r>
        <w:rPr/>
        <w:t>A graduate assistant is expected to make satisfactory progress toward the completion of her/his degree. To do this, a graduate assistant must enroll for a minimum of twelve hours of course</w:t>
      </w:r>
      <w:r>
        <w:rPr>
          <w:spacing w:val="-30"/>
        </w:rPr>
        <w:t> </w:t>
      </w:r>
      <w:r>
        <w:rPr/>
        <w:t>work per semester and must maintain a minimum grade point average of 3.0 at all times. Failure to maintain a grade point average of 3.0 disqualifies a student from holding a future graduate</w:t>
      </w:r>
      <w:r>
        <w:rPr>
          <w:spacing w:val="-4"/>
        </w:rPr>
        <w:t> </w:t>
      </w:r>
      <w:r>
        <w:rPr/>
        <w:t>assistantship.</w:t>
      </w:r>
    </w:p>
    <w:p>
      <w:pPr>
        <w:pStyle w:val="BodyText"/>
        <w:rPr>
          <w:sz w:val="28"/>
        </w:rPr>
      </w:pPr>
    </w:p>
    <w:p>
      <w:pPr>
        <w:pStyle w:val="BodyText"/>
        <w:spacing w:before="3"/>
        <w:rPr>
          <w:sz w:val="35"/>
        </w:rPr>
      </w:pPr>
    </w:p>
    <w:p>
      <w:pPr>
        <w:pStyle w:val="Heading2"/>
        <w:ind w:left="860"/>
      </w:pPr>
      <w:bookmarkStart w:name="_TOC_250002" w:id="2"/>
      <w:bookmarkEnd w:id="2"/>
      <w:r>
        <w:rPr>
          <w:color w:val="1F497C"/>
        </w:rPr>
        <w:t>GRADUATE PROGRAM REQUIREMENTS</w:t>
      </w:r>
    </w:p>
    <w:p>
      <w:pPr>
        <w:pStyle w:val="BodyText"/>
        <w:spacing w:before="240"/>
        <w:ind w:left="860"/>
      </w:pPr>
      <w:r>
        <w:rPr/>
        <w:t>Students in the full-time and extended-study programs are required to complete a minimum of sixty</w:t>
      </w:r>
    </w:p>
    <w:p>
      <w:pPr>
        <w:pStyle w:val="BodyText"/>
        <w:ind w:left="859" w:right="213"/>
        <w:jc w:val="both"/>
      </w:pPr>
      <w:r>
        <w:rPr/>
        <w:t>(60) semester hours: Thirty (30) hours are taken in the generalist curriculum, twenty-four (24) hours are required in the specialization curriculum, and six (6) hours are required as electives.</w:t>
      </w:r>
    </w:p>
    <w:p>
      <w:pPr>
        <w:pStyle w:val="BodyText"/>
        <w:spacing w:before="239"/>
        <w:ind w:left="859"/>
      </w:pPr>
      <w:r>
        <w:rPr/>
        <w:t>Students in the advanced standing curriculum are required to complete a minimum of thirty-seven</w:t>
      </w:r>
    </w:p>
    <w:p>
      <w:pPr>
        <w:pStyle w:val="ListParagraph"/>
        <w:numPr>
          <w:ilvl w:val="0"/>
          <w:numId w:val="4"/>
        </w:numPr>
        <w:tabs>
          <w:tab w:pos="1304" w:val="left" w:leader="none"/>
        </w:tabs>
        <w:spacing w:line="240" w:lineRule="auto" w:before="0" w:after="0"/>
        <w:ind w:left="860" w:right="214" w:firstLine="0"/>
        <w:jc w:val="both"/>
        <w:rPr>
          <w:sz w:val="24"/>
        </w:rPr>
      </w:pPr>
      <w:r>
        <w:rPr>
          <w:sz w:val="24"/>
        </w:rPr>
        <w:t>semester hours: Seven (7) hours are required in the generalist curriculum, twenty-four (24) hours are required in the specialization curriculum, and six (6) hours are required</w:t>
      </w:r>
      <w:r>
        <w:rPr>
          <w:spacing w:val="4"/>
          <w:sz w:val="24"/>
        </w:rPr>
        <w:t> </w:t>
      </w:r>
      <w:r>
        <w:rPr>
          <w:sz w:val="24"/>
        </w:rPr>
        <w:t>aselectives.</w:t>
      </w:r>
    </w:p>
    <w:p>
      <w:pPr>
        <w:pStyle w:val="BodyText"/>
        <w:spacing w:before="240"/>
        <w:ind w:left="859" w:right="211"/>
        <w:jc w:val="both"/>
      </w:pPr>
      <w:r>
        <w:rPr/>
        <w:t>To accommodate a wide range of student needs, the MSW program of study offers options for full- time (4 semesters of study; 60 credit hours) and extended study (6 to 8 semesters of study; 60 credit hours). The program also offers a thesis option. Regardless of progression through the program, the educational</w:t>
      </w:r>
      <w:r>
        <w:rPr>
          <w:spacing w:val="-8"/>
        </w:rPr>
        <w:t> </w:t>
      </w:r>
      <w:r>
        <w:rPr/>
        <w:t>components</w:t>
      </w:r>
      <w:r>
        <w:rPr>
          <w:spacing w:val="-8"/>
        </w:rPr>
        <w:t> </w:t>
      </w:r>
      <w:r>
        <w:rPr/>
        <w:t>of</w:t>
      </w:r>
      <w:r>
        <w:rPr>
          <w:spacing w:val="-7"/>
        </w:rPr>
        <w:t> </w:t>
      </w:r>
      <w:r>
        <w:rPr/>
        <w:t>each</w:t>
      </w:r>
      <w:r>
        <w:rPr>
          <w:spacing w:val="-8"/>
        </w:rPr>
        <w:t> </w:t>
      </w:r>
      <w:r>
        <w:rPr/>
        <w:t>sequencing</w:t>
      </w:r>
      <w:r>
        <w:rPr>
          <w:spacing w:val="-8"/>
        </w:rPr>
        <w:t> </w:t>
      </w:r>
      <w:r>
        <w:rPr/>
        <w:t>option</w:t>
      </w:r>
      <w:r>
        <w:rPr>
          <w:spacing w:val="-7"/>
        </w:rPr>
        <w:t> </w:t>
      </w:r>
      <w:r>
        <w:rPr/>
        <w:t>are</w:t>
      </w:r>
      <w:r>
        <w:rPr>
          <w:spacing w:val="-8"/>
        </w:rPr>
        <w:t> </w:t>
      </w:r>
      <w:r>
        <w:rPr/>
        <w:t>the</w:t>
      </w:r>
      <w:r>
        <w:rPr>
          <w:spacing w:val="-7"/>
        </w:rPr>
        <w:t> </w:t>
      </w:r>
      <w:r>
        <w:rPr/>
        <w:t>same.</w:t>
      </w:r>
      <w:r>
        <w:rPr>
          <w:spacing w:val="-8"/>
        </w:rPr>
        <w:t> </w:t>
      </w:r>
      <w:r>
        <w:rPr/>
        <w:t>The</w:t>
      </w:r>
      <w:r>
        <w:rPr>
          <w:spacing w:val="-8"/>
        </w:rPr>
        <w:t> </w:t>
      </w:r>
      <w:r>
        <w:rPr/>
        <w:t>spec</w:t>
      </w:r>
      <w:r>
        <w:rPr>
          <w:spacing w:val="-7"/>
        </w:rPr>
        <w:t> </w:t>
      </w:r>
      <w:r>
        <w:rPr/>
        <w:t>curriculum</w:t>
      </w:r>
      <w:r>
        <w:rPr>
          <w:spacing w:val="-8"/>
        </w:rPr>
        <w:t> </w:t>
      </w:r>
      <w:r>
        <w:rPr/>
        <w:t>is</w:t>
      </w:r>
      <w:r>
        <w:rPr>
          <w:spacing w:val="-8"/>
        </w:rPr>
        <w:t> </w:t>
      </w:r>
      <w:r>
        <w:rPr/>
        <w:t>generally</w:t>
      </w:r>
      <w:r>
        <w:rPr>
          <w:spacing w:val="-7"/>
        </w:rPr>
        <w:t> </w:t>
      </w:r>
      <w:r>
        <w:rPr/>
        <w:t>full- time (2 semesters), although students may choose to extend (3 to 5 semesters). All MSW students follow the same learning expectations for field education and meet the same requirements for graduation. Courses are offered in the traditional classroom settings, on-line and in a hybrid format (combination of traditional classroom and</w:t>
      </w:r>
      <w:r>
        <w:rPr>
          <w:spacing w:val="-1"/>
        </w:rPr>
        <w:t> </w:t>
      </w:r>
      <w:r>
        <w:rPr/>
        <w:t>on-line).</w:t>
      </w:r>
    </w:p>
    <w:p>
      <w:pPr>
        <w:pStyle w:val="BodyText"/>
        <w:spacing w:before="239"/>
        <w:ind w:left="1220"/>
      </w:pPr>
      <w:r>
        <w:rPr/>
        <w:t>A- Thesis Option</w:t>
      </w:r>
    </w:p>
    <w:p>
      <w:pPr>
        <w:pStyle w:val="ListParagraph"/>
        <w:numPr>
          <w:ilvl w:val="1"/>
          <w:numId w:val="4"/>
        </w:numPr>
        <w:tabs>
          <w:tab w:pos="2301" w:val="left" w:leader="none"/>
        </w:tabs>
        <w:spacing w:line="240" w:lineRule="auto" w:before="0" w:after="0"/>
        <w:ind w:left="2300" w:right="447" w:hanging="360"/>
        <w:jc w:val="left"/>
        <w:rPr>
          <w:sz w:val="24"/>
        </w:rPr>
      </w:pPr>
      <w:r>
        <w:rPr>
          <w:sz w:val="24"/>
        </w:rPr>
        <w:t>30 semester hours of foundation-level graduate coursework (24 semester hours)</w:t>
      </w:r>
      <w:r>
        <w:rPr>
          <w:spacing w:val="-42"/>
          <w:sz w:val="24"/>
        </w:rPr>
        <w:t> </w:t>
      </w:r>
      <w:r>
        <w:rPr>
          <w:sz w:val="24"/>
        </w:rPr>
        <w:t>and field (6 semester hours), 24 semester hours of concentration-level coursework (18 semester hours) and field (6 semester hours), and a minimum of 6 semester hours of SWRK 7996</w:t>
      </w:r>
      <w:r>
        <w:rPr>
          <w:spacing w:val="-5"/>
          <w:sz w:val="24"/>
        </w:rPr>
        <w:t> </w:t>
      </w:r>
      <w:r>
        <w:rPr>
          <w:sz w:val="24"/>
        </w:rPr>
        <w:t>(Thesis).</w:t>
      </w:r>
    </w:p>
    <w:p>
      <w:pPr>
        <w:pStyle w:val="ListParagraph"/>
        <w:numPr>
          <w:ilvl w:val="1"/>
          <w:numId w:val="4"/>
        </w:numPr>
        <w:tabs>
          <w:tab w:pos="2301" w:val="left" w:leader="none"/>
        </w:tabs>
        <w:spacing w:line="240" w:lineRule="auto" w:before="0" w:after="0"/>
        <w:ind w:left="2300" w:right="582" w:hanging="360"/>
        <w:jc w:val="left"/>
        <w:rPr>
          <w:sz w:val="24"/>
        </w:rPr>
      </w:pPr>
      <w:r>
        <w:rPr>
          <w:sz w:val="24"/>
        </w:rPr>
        <w:t>All courses in the 30 semester hours of foundation-level graduate coursework (24 semester hours) and field (6 semester hours) are required and must be taken </w:t>
      </w:r>
      <w:r>
        <w:rPr>
          <w:spacing w:val="3"/>
          <w:sz w:val="24"/>
        </w:rPr>
        <w:t>witha </w:t>
      </w:r>
      <w:r>
        <w:rPr>
          <w:sz w:val="24"/>
        </w:rPr>
        <w:t>passing grade before concentration-level coursework, elective semester hours, independent study semester hours, or thesis hours may be</w:t>
      </w:r>
      <w:r>
        <w:rPr>
          <w:spacing w:val="-27"/>
          <w:sz w:val="24"/>
        </w:rPr>
        <w:t> </w:t>
      </w:r>
      <w:r>
        <w:rPr>
          <w:sz w:val="24"/>
        </w:rPr>
        <w:t>undertaken.</w:t>
      </w:r>
    </w:p>
    <w:p>
      <w:pPr>
        <w:pStyle w:val="ListParagraph"/>
        <w:numPr>
          <w:ilvl w:val="1"/>
          <w:numId w:val="4"/>
        </w:numPr>
        <w:tabs>
          <w:tab w:pos="2300" w:val="left" w:leader="none"/>
          <w:tab w:pos="2301" w:val="left" w:leader="none"/>
        </w:tabs>
        <w:spacing w:line="240" w:lineRule="auto" w:before="0" w:after="0"/>
        <w:ind w:left="2300" w:right="440" w:hanging="360"/>
        <w:jc w:val="left"/>
        <w:rPr>
          <w:sz w:val="24"/>
        </w:rPr>
      </w:pPr>
      <w:r>
        <w:rPr>
          <w:sz w:val="24"/>
        </w:rPr>
        <w:t>12 hours of concentration-level coursework and 12 hours of concentration-level field and field seminar are required</w:t>
      </w:r>
      <w:r>
        <w:rPr>
          <w:spacing w:val="-7"/>
          <w:sz w:val="24"/>
        </w:rPr>
        <w:t> </w:t>
      </w:r>
      <w:r>
        <w:rPr>
          <w:sz w:val="24"/>
        </w:rPr>
        <w:t>courses.</w:t>
      </w:r>
    </w:p>
    <w:p>
      <w:pPr>
        <w:spacing w:after="0" w:line="240" w:lineRule="auto"/>
        <w:jc w:val="left"/>
        <w:rPr>
          <w:sz w:val="24"/>
        </w:rPr>
        <w:sectPr>
          <w:pgSz w:w="12240" w:h="15840"/>
          <w:pgMar w:header="0" w:footer="1108" w:top="1380" w:bottom="1300" w:left="300" w:right="920"/>
        </w:sectPr>
      </w:pPr>
    </w:p>
    <w:p>
      <w:pPr>
        <w:pStyle w:val="ListParagraph"/>
        <w:numPr>
          <w:ilvl w:val="1"/>
          <w:numId w:val="4"/>
        </w:numPr>
        <w:tabs>
          <w:tab w:pos="2301" w:val="left" w:leader="none"/>
        </w:tabs>
        <w:spacing w:line="240" w:lineRule="auto" w:before="73" w:after="0"/>
        <w:ind w:left="2300" w:right="815" w:hanging="360"/>
        <w:jc w:val="left"/>
        <w:rPr>
          <w:sz w:val="24"/>
        </w:rPr>
      </w:pPr>
      <w:r>
        <w:rPr>
          <w:sz w:val="24"/>
        </w:rPr>
        <w:t>The 6 semester hours of SWRK 7996 replace 2 electives and must be taken </w:t>
      </w:r>
      <w:r>
        <w:rPr>
          <w:spacing w:val="5"/>
          <w:sz w:val="24"/>
        </w:rPr>
        <w:t>intwo </w:t>
      </w:r>
      <w:r>
        <w:rPr>
          <w:sz w:val="24"/>
        </w:rPr>
        <w:t>consecutive</w:t>
      </w:r>
      <w:r>
        <w:rPr>
          <w:spacing w:val="-14"/>
          <w:sz w:val="24"/>
        </w:rPr>
        <w:t> </w:t>
      </w:r>
      <w:r>
        <w:rPr>
          <w:sz w:val="24"/>
        </w:rPr>
        <w:t>semesters.</w:t>
      </w:r>
    </w:p>
    <w:p>
      <w:pPr>
        <w:pStyle w:val="ListParagraph"/>
        <w:numPr>
          <w:ilvl w:val="1"/>
          <w:numId w:val="4"/>
        </w:numPr>
        <w:tabs>
          <w:tab w:pos="2301" w:val="left" w:leader="none"/>
        </w:tabs>
        <w:spacing w:line="240" w:lineRule="auto" w:before="0" w:after="0"/>
        <w:ind w:left="2300" w:right="362" w:hanging="360"/>
        <w:jc w:val="left"/>
        <w:rPr>
          <w:sz w:val="24"/>
        </w:rPr>
      </w:pPr>
      <w:r>
        <w:rPr>
          <w:sz w:val="24"/>
        </w:rPr>
        <w:t>A passing score on the capstone Comprehensive Examination. The comprehensive examination for the Master of Social Work program consists of three components: 1) an evaluation of the student's ability to meet MSW program competencies in field placement; 2) a student self-assessment of her/his ability to meet all MSW program competencies; and 3) completion of a social work licensure practice examination with a score of 75 or</w:t>
      </w:r>
      <w:r>
        <w:rPr>
          <w:spacing w:val="-9"/>
          <w:sz w:val="24"/>
        </w:rPr>
        <w:t> </w:t>
      </w:r>
      <w:r>
        <w:rPr>
          <w:sz w:val="24"/>
        </w:rPr>
        <w:t>higher.</w:t>
      </w:r>
    </w:p>
    <w:p>
      <w:pPr>
        <w:pStyle w:val="BodyText"/>
        <w:spacing w:before="1"/>
        <w:rPr>
          <w:sz w:val="23"/>
        </w:rPr>
      </w:pPr>
    </w:p>
    <w:p>
      <w:pPr>
        <w:pStyle w:val="BodyText"/>
        <w:ind w:left="1219"/>
      </w:pPr>
      <w:r>
        <w:rPr/>
        <w:t>B- Non-Thesis Option</w:t>
      </w:r>
    </w:p>
    <w:p>
      <w:pPr>
        <w:pStyle w:val="ListParagraph"/>
        <w:numPr>
          <w:ilvl w:val="0"/>
          <w:numId w:val="5"/>
        </w:numPr>
        <w:tabs>
          <w:tab w:pos="2301" w:val="left" w:leader="none"/>
        </w:tabs>
        <w:spacing w:line="240" w:lineRule="auto" w:before="0" w:after="0"/>
        <w:ind w:left="2300" w:right="458" w:hanging="360"/>
        <w:jc w:val="left"/>
        <w:rPr>
          <w:sz w:val="24"/>
        </w:rPr>
      </w:pPr>
      <w:r>
        <w:rPr>
          <w:sz w:val="24"/>
        </w:rPr>
        <w:t>30 semester hours of foundation-level graduate coursework (24 semester hours)</w:t>
      </w:r>
      <w:r>
        <w:rPr>
          <w:spacing w:val="-42"/>
          <w:sz w:val="24"/>
        </w:rPr>
        <w:t> </w:t>
      </w:r>
      <w:r>
        <w:rPr>
          <w:sz w:val="24"/>
        </w:rPr>
        <w:t>and field (6 semester hours), 18 semester hours of concentration-level coursework (18 semester</w:t>
      </w:r>
      <w:r>
        <w:rPr>
          <w:spacing w:val="-5"/>
          <w:sz w:val="24"/>
        </w:rPr>
        <w:t> </w:t>
      </w:r>
      <w:r>
        <w:rPr>
          <w:sz w:val="24"/>
        </w:rPr>
        <w:t>hours),</w:t>
      </w:r>
      <w:r>
        <w:rPr>
          <w:spacing w:val="-4"/>
          <w:sz w:val="24"/>
        </w:rPr>
        <w:t> </w:t>
      </w:r>
      <w:r>
        <w:rPr>
          <w:sz w:val="24"/>
        </w:rPr>
        <w:t>field</w:t>
      </w:r>
      <w:r>
        <w:rPr>
          <w:spacing w:val="-6"/>
          <w:sz w:val="24"/>
        </w:rPr>
        <w:t> </w:t>
      </w:r>
      <w:r>
        <w:rPr>
          <w:sz w:val="24"/>
        </w:rPr>
        <w:t>(6</w:t>
      </w:r>
      <w:r>
        <w:rPr>
          <w:spacing w:val="-5"/>
          <w:sz w:val="24"/>
        </w:rPr>
        <w:t> </w:t>
      </w:r>
      <w:r>
        <w:rPr>
          <w:sz w:val="24"/>
        </w:rPr>
        <w:t>semester</w:t>
      </w:r>
      <w:r>
        <w:rPr>
          <w:spacing w:val="-5"/>
          <w:sz w:val="24"/>
        </w:rPr>
        <w:t> </w:t>
      </w:r>
      <w:r>
        <w:rPr>
          <w:sz w:val="24"/>
        </w:rPr>
        <w:t>hours),</w:t>
      </w:r>
      <w:r>
        <w:rPr>
          <w:spacing w:val="-4"/>
          <w:sz w:val="24"/>
        </w:rPr>
        <w:t> </w:t>
      </w:r>
      <w:r>
        <w:rPr>
          <w:sz w:val="24"/>
        </w:rPr>
        <w:t>and</w:t>
      </w:r>
      <w:r>
        <w:rPr>
          <w:spacing w:val="-7"/>
          <w:sz w:val="24"/>
        </w:rPr>
        <w:t> </w:t>
      </w:r>
      <w:r>
        <w:rPr>
          <w:sz w:val="24"/>
        </w:rPr>
        <w:t>field</w:t>
      </w:r>
      <w:r>
        <w:rPr>
          <w:spacing w:val="-5"/>
          <w:sz w:val="24"/>
        </w:rPr>
        <w:t> </w:t>
      </w:r>
      <w:r>
        <w:rPr>
          <w:sz w:val="24"/>
        </w:rPr>
        <w:t>seminar</w:t>
      </w:r>
      <w:r>
        <w:rPr>
          <w:spacing w:val="-5"/>
          <w:sz w:val="24"/>
        </w:rPr>
        <w:t> </w:t>
      </w:r>
      <w:r>
        <w:rPr>
          <w:sz w:val="24"/>
        </w:rPr>
        <w:t>(6</w:t>
      </w:r>
      <w:r>
        <w:rPr>
          <w:spacing w:val="-5"/>
          <w:sz w:val="24"/>
        </w:rPr>
        <w:t> </w:t>
      </w:r>
      <w:r>
        <w:rPr>
          <w:sz w:val="24"/>
        </w:rPr>
        <w:t>semester</w:t>
      </w:r>
      <w:r>
        <w:rPr>
          <w:spacing w:val="-5"/>
          <w:sz w:val="24"/>
        </w:rPr>
        <w:t> </w:t>
      </w:r>
      <w:r>
        <w:rPr>
          <w:sz w:val="24"/>
        </w:rPr>
        <w:t>hours).</w:t>
      </w:r>
    </w:p>
    <w:p>
      <w:pPr>
        <w:pStyle w:val="ListParagraph"/>
        <w:numPr>
          <w:ilvl w:val="0"/>
          <w:numId w:val="5"/>
        </w:numPr>
        <w:tabs>
          <w:tab w:pos="2301" w:val="left" w:leader="none"/>
        </w:tabs>
        <w:spacing w:line="240" w:lineRule="auto" w:before="0" w:after="0"/>
        <w:ind w:left="2300" w:right="582" w:hanging="360"/>
        <w:jc w:val="left"/>
        <w:rPr>
          <w:sz w:val="24"/>
        </w:rPr>
      </w:pPr>
      <w:r>
        <w:rPr>
          <w:sz w:val="24"/>
        </w:rPr>
        <w:t>All courses in the 30 semester hours of foundation-level graduate coursework (24 semester hours) and field (6 semester hours) are required and must be taken </w:t>
      </w:r>
      <w:r>
        <w:rPr>
          <w:spacing w:val="3"/>
          <w:sz w:val="24"/>
        </w:rPr>
        <w:t>witha </w:t>
      </w:r>
      <w:r>
        <w:rPr>
          <w:sz w:val="24"/>
        </w:rPr>
        <w:t>passing grade before concentration-level coursework, elective semester hours, or independent study semester hours may beundertaken.</w:t>
      </w:r>
    </w:p>
    <w:p>
      <w:pPr>
        <w:pStyle w:val="ListParagraph"/>
        <w:numPr>
          <w:ilvl w:val="0"/>
          <w:numId w:val="5"/>
        </w:numPr>
        <w:tabs>
          <w:tab w:pos="2300" w:val="left" w:leader="none"/>
          <w:tab w:pos="2301" w:val="left" w:leader="none"/>
        </w:tabs>
        <w:spacing w:line="240" w:lineRule="auto" w:before="0" w:after="0"/>
        <w:ind w:left="2300" w:right="290" w:hanging="360"/>
        <w:jc w:val="left"/>
        <w:rPr>
          <w:sz w:val="24"/>
        </w:rPr>
      </w:pPr>
      <w:r>
        <w:rPr>
          <w:sz w:val="24"/>
        </w:rPr>
        <w:t>12 hours of concentration-level coursework, 6 hours of concentration-level field, and</w:t>
      </w:r>
      <w:r>
        <w:rPr>
          <w:spacing w:val="-38"/>
          <w:sz w:val="24"/>
        </w:rPr>
        <w:t> </w:t>
      </w:r>
      <w:r>
        <w:rPr>
          <w:sz w:val="24"/>
        </w:rPr>
        <w:t>6 hours of concentration-level field seminar are required</w:t>
      </w:r>
      <w:r>
        <w:rPr>
          <w:spacing w:val="-22"/>
          <w:sz w:val="24"/>
        </w:rPr>
        <w:t> </w:t>
      </w:r>
      <w:r>
        <w:rPr>
          <w:sz w:val="24"/>
        </w:rPr>
        <w:t>courses.</w:t>
      </w:r>
    </w:p>
    <w:p>
      <w:pPr>
        <w:pStyle w:val="ListParagraph"/>
        <w:numPr>
          <w:ilvl w:val="0"/>
          <w:numId w:val="5"/>
        </w:numPr>
        <w:tabs>
          <w:tab w:pos="2301" w:val="left" w:leader="none"/>
        </w:tabs>
        <w:spacing w:line="240" w:lineRule="auto" w:before="0" w:after="0"/>
        <w:ind w:left="2300" w:right="354" w:hanging="360"/>
        <w:jc w:val="left"/>
        <w:rPr>
          <w:sz w:val="24"/>
        </w:rPr>
      </w:pPr>
      <w:r>
        <w:rPr>
          <w:sz w:val="24"/>
        </w:rPr>
        <w:t>6 semester hours of electives or independent study must be taken with thenon-thesis option.</w:t>
      </w:r>
    </w:p>
    <w:p>
      <w:pPr>
        <w:pStyle w:val="ListParagraph"/>
        <w:numPr>
          <w:ilvl w:val="0"/>
          <w:numId w:val="5"/>
        </w:numPr>
        <w:tabs>
          <w:tab w:pos="2301" w:val="left" w:leader="none"/>
        </w:tabs>
        <w:spacing w:line="240" w:lineRule="auto" w:before="0" w:after="0"/>
        <w:ind w:left="2300" w:right="362" w:hanging="360"/>
        <w:jc w:val="left"/>
        <w:rPr>
          <w:sz w:val="24"/>
        </w:rPr>
      </w:pPr>
      <w:r>
        <w:rPr>
          <w:sz w:val="24"/>
        </w:rPr>
        <w:t>A passing score on the capstone Comprehensive Examination. The comprehensive examination for the Master of Social Work program consists of three components: 1) an evaluation of the student’s ability to meet MSW program competencies in field placement; 2) a student self-assessment of her/his ability to meet all MSW program competencies; and 3) completion of a social work licensure practice examination with a score of 75 or</w:t>
      </w:r>
      <w:r>
        <w:rPr>
          <w:spacing w:val="-9"/>
          <w:sz w:val="24"/>
        </w:rPr>
        <w:t> </w:t>
      </w:r>
      <w:r>
        <w:rPr>
          <w:sz w:val="24"/>
        </w:rPr>
        <w:t>higher.</w:t>
      </w:r>
    </w:p>
    <w:p>
      <w:pPr>
        <w:pStyle w:val="BodyText"/>
        <w:rPr>
          <w:sz w:val="28"/>
        </w:rPr>
      </w:pPr>
    </w:p>
    <w:p>
      <w:pPr>
        <w:pStyle w:val="Heading2"/>
        <w:spacing w:before="212"/>
        <w:ind w:left="860"/>
      </w:pPr>
      <w:r>
        <w:rPr>
          <w:color w:val="1F497C"/>
        </w:rPr>
        <w:t>DEGREE PLANS</w:t>
      </w:r>
    </w:p>
    <w:p>
      <w:pPr>
        <w:pStyle w:val="BodyText"/>
        <w:spacing w:before="10"/>
        <w:rPr>
          <w:b/>
          <w:sz w:val="29"/>
        </w:rPr>
      </w:pPr>
    </w:p>
    <w:p>
      <w:pPr>
        <w:pStyle w:val="BodyText"/>
        <w:spacing w:before="1"/>
        <w:ind w:left="860"/>
      </w:pPr>
      <w:r>
        <w:rPr/>
        <w:t>Students may see sample degree plans for the different options in the Appendix.</w:t>
      </w:r>
    </w:p>
    <w:p>
      <w:pPr>
        <w:pStyle w:val="BodyText"/>
        <w:spacing w:before="5"/>
        <w:rPr>
          <w:sz w:val="29"/>
        </w:rPr>
      </w:pPr>
    </w:p>
    <w:p>
      <w:pPr>
        <w:pStyle w:val="Heading2"/>
        <w:ind w:left="860"/>
      </w:pPr>
      <w:r>
        <w:rPr/>
        <w:t>FULL TIME PROGRAM (60 credit hours)</w:t>
      </w:r>
    </w:p>
    <w:p>
      <w:pPr>
        <w:pStyle w:val="BodyText"/>
        <w:rPr>
          <w:b/>
        </w:rPr>
      </w:pPr>
    </w:p>
    <w:p>
      <w:pPr>
        <w:pStyle w:val="BodyText"/>
        <w:ind w:left="860" w:right="211"/>
        <w:jc w:val="both"/>
      </w:pPr>
      <w:r>
        <w:rPr/>
        <w:t>Students may elect to complete the MSW program on a full-time basis in four semesters (two years). Students who plan to complete the program full time should register for fifteen hours per semester and follow the schedule below. There is the option to take elective or specialization courses in the summer between year one and year two to spread out the requirements.</w:t>
      </w:r>
    </w:p>
    <w:p>
      <w:pPr>
        <w:pStyle w:val="BodyText"/>
        <w:spacing w:before="8"/>
        <w:rPr>
          <w:sz w:val="26"/>
        </w:rPr>
      </w:pPr>
    </w:p>
    <w:p>
      <w:pPr>
        <w:pStyle w:val="Heading2"/>
        <w:ind w:left="860"/>
      </w:pPr>
      <w:r>
        <w:rPr/>
        <w:t>EXTENDED STUDY PROGRAM (60 credit hours)</w:t>
      </w:r>
    </w:p>
    <w:p>
      <w:pPr>
        <w:pStyle w:val="BodyText"/>
        <w:spacing w:before="3"/>
        <w:rPr>
          <w:b/>
          <w:sz w:val="23"/>
        </w:rPr>
      </w:pPr>
    </w:p>
    <w:p>
      <w:pPr>
        <w:pStyle w:val="BodyText"/>
        <w:ind w:left="860"/>
      </w:pPr>
      <w:r>
        <w:rPr/>
        <w:t>Students who are not able to take fifteen hours per semester may extend the program to three or four</w:t>
      </w:r>
    </w:p>
    <w:p>
      <w:pPr>
        <w:spacing w:after="0"/>
        <w:sectPr>
          <w:pgSz w:w="12240" w:h="15840"/>
          <w:pgMar w:header="0" w:footer="1108" w:top="1380" w:bottom="1300" w:left="300" w:right="920"/>
        </w:sectPr>
      </w:pPr>
    </w:p>
    <w:p>
      <w:pPr>
        <w:pStyle w:val="BodyText"/>
        <w:spacing w:before="73"/>
        <w:ind w:left="860" w:right="212"/>
        <w:jc w:val="both"/>
      </w:pPr>
      <w:r>
        <w:rPr/>
        <w:t>years.</w:t>
      </w:r>
      <w:r>
        <w:rPr>
          <w:spacing w:val="-8"/>
        </w:rPr>
        <w:t> </w:t>
      </w:r>
      <w:r>
        <w:rPr/>
        <w:t>The</w:t>
      </w:r>
      <w:r>
        <w:rPr>
          <w:spacing w:val="-8"/>
        </w:rPr>
        <w:t> </w:t>
      </w:r>
      <w:r>
        <w:rPr/>
        <w:t>extended</w:t>
      </w:r>
      <w:r>
        <w:rPr>
          <w:spacing w:val="-7"/>
        </w:rPr>
        <w:t> </w:t>
      </w:r>
      <w:r>
        <w:rPr/>
        <w:t>study</w:t>
      </w:r>
      <w:r>
        <w:rPr>
          <w:spacing w:val="-8"/>
        </w:rPr>
        <w:t> </w:t>
      </w:r>
      <w:r>
        <w:rPr/>
        <w:t>option</w:t>
      </w:r>
      <w:r>
        <w:rPr>
          <w:spacing w:val="-7"/>
        </w:rPr>
        <w:t> </w:t>
      </w:r>
      <w:r>
        <w:rPr/>
        <w:t>may</w:t>
      </w:r>
      <w:r>
        <w:rPr>
          <w:spacing w:val="-8"/>
        </w:rPr>
        <w:t> </w:t>
      </w:r>
      <w:r>
        <w:rPr/>
        <w:t>include</w:t>
      </w:r>
      <w:r>
        <w:rPr>
          <w:spacing w:val="-7"/>
        </w:rPr>
        <w:t> </w:t>
      </w:r>
      <w:r>
        <w:rPr/>
        <w:t>either</w:t>
      </w:r>
      <w:r>
        <w:rPr>
          <w:spacing w:val="-8"/>
        </w:rPr>
        <w:t> </w:t>
      </w:r>
      <w:r>
        <w:rPr/>
        <w:t>six</w:t>
      </w:r>
      <w:r>
        <w:rPr>
          <w:spacing w:val="-7"/>
        </w:rPr>
        <w:t> </w:t>
      </w:r>
      <w:r>
        <w:rPr/>
        <w:t>or</w:t>
      </w:r>
      <w:r>
        <w:rPr>
          <w:spacing w:val="-8"/>
        </w:rPr>
        <w:t> </w:t>
      </w:r>
      <w:r>
        <w:rPr/>
        <w:t>nine</w:t>
      </w:r>
      <w:r>
        <w:rPr>
          <w:spacing w:val="-7"/>
        </w:rPr>
        <w:t> </w:t>
      </w:r>
      <w:r>
        <w:rPr/>
        <w:t>hours</w:t>
      </w:r>
      <w:r>
        <w:rPr>
          <w:spacing w:val="-8"/>
        </w:rPr>
        <w:t> </w:t>
      </w:r>
      <w:r>
        <w:rPr/>
        <w:t>per</w:t>
      </w:r>
      <w:r>
        <w:rPr>
          <w:spacing w:val="-7"/>
        </w:rPr>
        <w:t> </w:t>
      </w:r>
      <w:r>
        <w:rPr/>
        <w:t>semester.</w:t>
      </w:r>
      <w:r>
        <w:rPr>
          <w:spacing w:val="-8"/>
        </w:rPr>
        <w:t> </w:t>
      </w:r>
      <w:r>
        <w:rPr/>
        <w:t>Generalist</w:t>
      </w:r>
      <w:r>
        <w:rPr>
          <w:spacing w:val="-7"/>
        </w:rPr>
        <w:t> </w:t>
      </w:r>
      <w:r>
        <w:rPr/>
        <w:t>courses must be completed before specialization courses and prerequisite requirements must be followed. Students in the extended study program must work closely with the assigned</w:t>
      </w:r>
      <w:r>
        <w:rPr>
          <w:spacing w:val="-4"/>
        </w:rPr>
        <w:t> </w:t>
      </w:r>
      <w:r>
        <w:rPr/>
        <w:t>advisor.</w:t>
      </w:r>
    </w:p>
    <w:p>
      <w:pPr>
        <w:pStyle w:val="BodyText"/>
        <w:spacing w:before="8"/>
        <w:rPr>
          <w:sz w:val="26"/>
        </w:rPr>
      </w:pPr>
    </w:p>
    <w:p>
      <w:pPr>
        <w:pStyle w:val="Heading2"/>
        <w:ind w:left="900"/>
      </w:pPr>
      <w:r>
        <w:rPr/>
        <w:t>SPRING START 2.5 YEAR STUDY PROGRAM (60 credit hours)</w:t>
      </w:r>
    </w:p>
    <w:p>
      <w:pPr>
        <w:pStyle w:val="BodyText"/>
        <w:spacing w:before="11"/>
        <w:rPr>
          <w:b/>
          <w:sz w:val="29"/>
        </w:rPr>
      </w:pPr>
    </w:p>
    <w:p>
      <w:pPr>
        <w:pStyle w:val="BodyText"/>
        <w:ind w:left="900" w:right="103"/>
        <w:jc w:val="both"/>
      </w:pPr>
      <w:r>
        <w:rPr/>
        <w:t>Students may start the MSW program in the spring semester and take 9 credit hours each semester. Students in the Spring-Start option are expected to complete the MSW program at the same time as Full-Time students who began the MSW program the previous fall.</w:t>
      </w:r>
    </w:p>
    <w:p>
      <w:pPr>
        <w:pStyle w:val="BodyText"/>
        <w:spacing w:before="10"/>
        <w:rPr>
          <w:sz w:val="29"/>
        </w:rPr>
      </w:pPr>
    </w:p>
    <w:p>
      <w:pPr>
        <w:pStyle w:val="Heading2"/>
        <w:ind w:left="900"/>
      </w:pPr>
      <w:r>
        <w:rPr/>
        <w:t>ADVANCED STANDING PROGRAM (37 credit hours)</w:t>
      </w:r>
    </w:p>
    <w:p>
      <w:pPr>
        <w:pStyle w:val="BodyText"/>
        <w:spacing w:before="240"/>
        <w:ind w:left="900" w:right="250"/>
        <w:jc w:val="both"/>
      </w:pPr>
      <w:r>
        <w:rPr/>
        <w:t>The University of Memphis offers an advanced standing program for students who have completed a Bachelor of Arts in Social Work (BA) or Bachelor of Social Work (BSW) from a Council on Social Work Education (CSWE) accredited program within five years of applying to the MSW program with a minimum GPA of 3.0 overall and 3.3 in social work courses. The five year rule may be waived if the applicant is a Licensed Baccalaureate Social Worker (LBSW). In addition to the above requirements, applicants must show graduate level proficiency in writing on either the Graduate Record Exam</w:t>
      </w:r>
      <w:r>
        <w:rPr>
          <w:spacing w:val="-34"/>
        </w:rPr>
        <w:t> </w:t>
      </w:r>
      <w:r>
        <w:rPr/>
        <w:t>(GRE) or the Praxis Core Academic Skills for Educators Writing</w:t>
      </w:r>
      <w:r>
        <w:rPr>
          <w:spacing w:val="-1"/>
        </w:rPr>
        <w:t> </w:t>
      </w:r>
      <w:r>
        <w:rPr/>
        <w:t>Exam.</w:t>
      </w:r>
    </w:p>
    <w:p>
      <w:pPr>
        <w:pStyle w:val="BodyText"/>
        <w:spacing w:before="11"/>
        <w:rPr>
          <w:sz w:val="23"/>
        </w:rPr>
      </w:pPr>
    </w:p>
    <w:p>
      <w:pPr>
        <w:pStyle w:val="BodyText"/>
        <w:ind w:left="900" w:right="251"/>
        <w:jc w:val="both"/>
      </w:pPr>
      <w:r>
        <w:rPr/>
        <w:t>The</w:t>
      </w:r>
      <w:r>
        <w:rPr>
          <w:spacing w:val="-4"/>
        </w:rPr>
        <w:t> </w:t>
      </w:r>
      <w:r>
        <w:rPr/>
        <w:t>Advanced</w:t>
      </w:r>
      <w:r>
        <w:rPr>
          <w:spacing w:val="-3"/>
        </w:rPr>
        <w:t> </w:t>
      </w:r>
      <w:r>
        <w:rPr/>
        <w:t>Standing</w:t>
      </w:r>
      <w:r>
        <w:rPr>
          <w:spacing w:val="-3"/>
        </w:rPr>
        <w:t> </w:t>
      </w:r>
      <w:r>
        <w:rPr/>
        <w:t>curriculum</w:t>
      </w:r>
      <w:r>
        <w:rPr>
          <w:spacing w:val="-3"/>
        </w:rPr>
        <w:t> </w:t>
      </w:r>
      <w:r>
        <w:rPr/>
        <w:t>may</w:t>
      </w:r>
      <w:r>
        <w:rPr>
          <w:spacing w:val="-3"/>
        </w:rPr>
        <w:t> </w:t>
      </w:r>
      <w:r>
        <w:rPr/>
        <w:t>be</w:t>
      </w:r>
      <w:r>
        <w:rPr>
          <w:spacing w:val="-3"/>
        </w:rPr>
        <w:t> </w:t>
      </w:r>
      <w:r>
        <w:rPr/>
        <w:t>studied</w:t>
      </w:r>
      <w:r>
        <w:rPr>
          <w:spacing w:val="-4"/>
        </w:rPr>
        <w:t> </w:t>
      </w:r>
      <w:r>
        <w:rPr/>
        <w:t>entirely</w:t>
      </w:r>
      <w:r>
        <w:rPr>
          <w:spacing w:val="-3"/>
        </w:rPr>
        <w:t> </w:t>
      </w:r>
      <w:r>
        <w:rPr/>
        <w:t>online.</w:t>
      </w:r>
      <w:r>
        <w:rPr>
          <w:spacing w:val="-3"/>
        </w:rPr>
        <w:t> </w:t>
      </w:r>
      <w:r>
        <w:rPr/>
        <w:t>Please</w:t>
      </w:r>
      <w:r>
        <w:rPr>
          <w:spacing w:val="-3"/>
        </w:rPr>
        <w:t> </w:t>
      </w:r>
      <w:r>
        <w:rPr/>
        <w:t>note</w:t>
      </w:r>
      <w:r>
        <w:rPr>
          <w:spacing w:val="-3"/>
        </w:rPr>
        <w:t> </w:t>
      </w:r>
      <w:r>
        <w:rPr/>
        <w:t>the</w:t>
      </w:r>
      <w:r>
        <w:rPr>
          <w:spacing w:val="-3"/>
        </w:rPr>
        <w:t> </w:t>
      </w:r>
      <w:r>
        <w:rPr/>
        <w:t>field</w:t>
      </w:r>
      <w:r>
        <w:rPr>
          <w:spacing w:val="-3"/>
        </w:rPr>
        <w:t> </w:t>
      </w:r>
      <w:r>
        <w:rPr/>
        <w:t>requirements for distance field</w:t>
      </w:r>
      <w:r>
        <w:rPr>
          <w:spacing w:val="-1"/>
        </w:rPr>
        <w:t> </w:t>
      </w:r>
      <w:r>
        <w:rPr/>
        <w:t>placements.</w:t>
      </w:r>
    </w:p>
    <w:p>
      <w:pPr>
        <w:pStyle w:val="BodyText"/>
        <w:rPr>
          <w:sz w:val="28"/>
        </w:rPr>
      </w:pPr>
    </w:p>
    <w:p>
      <w:pPr>
        <w:pStyle w:val="BodyText"/>
        <w:rPr>
          <w:sz w:val="28"/>
        </w:rPr>
      </w:pPr>
    </w:p>
    <w:p>
      <w:pPr>
        <w:pStyle w:val="BodyText"/>
        <w:spacing w:before="11"/>
        <w:rPr>
          <w:sz w:val="39"/>
        </w:rPr>
      </w:pPr>
    </w:p>
    <w:p>
      <w:pPr>
        <w:pStyle w:val="Heading2"/>
        <w:ind w:left="859"/>
      </w:pPr>
      <w:r>
        <w:rPr>
          <w:color w:val="1F497C"/>
        </w:rPr>
        <w:t>GENERALIST CURRICULUM</w:t>
      </w:r>
    </w:p>
    <w:p>
      <w:pPr>
        <w:pStyle w:val="BodyText"/>
        <w:spacing w:before="240"/>
        <w:ind w:left="860" w:right="209"/>
        <w:jc w:val="both"/>
      </w:pPr>
      <w:r>
        <w:rPr/>
        <w:t>The generalist curriculum provides evidence-based knowledge, behaviors and skills for social work practice with individuals, families, groups, organizations and communities. The specialization curriculum allows students to extend the basic knowledge gained in the foundation to a more focused advanced evidence-based practice with families and children. Both the generalist and specialization portions of the program emphasize evidence-based practice and critical thinking skills.</w:t>
      </w:r>
    </w:p>
    <w:p>
      <w:pPr>
        <w:pStyle w:val="BodyText"/>
        <w:spacing w:before="239"/>
        <w:ind w:left="860" w:right="210"/>
        <w:jc w:val="both"/>
      </w:pPr>
      <w:r>
        <w:rPr/>
        <w:t>Students</w:t>
      </w:r>
      <w:r>
        <w:rPr>
          <w:spacing w:val="-8"/>
        </w:rPr>
        <w:t> </w:t>
      </w:r>
      <w:r>
        <w:rPr/>
        <w:t>must</w:t>
      </w:r>
      <w:r>
        <w:rPr>
          <w:spacing w:val="-8"/>
        </w:rPr>
        <w:t> </w:t>
      </w:r>
      <w:r>
        <w:rPr/>
        <w:t>follow</w:t>
      </w:r>
      <w:r>
        <w:rPr>
          <w:spacing w:val="-7"/>
        </w:rPr>
        <w:t> </w:t>
      </w:r>
      <w:r>
        <w:rPr/>
        <w:t>a</w:t>
      </w:r>
      <w:r>
        <w:rPr>
          <w:spacing w:val="-8"/>
        </w:rPr>
        <w:t> </w:t>
      </w:r>
      <w:r>
        <w:rPr/>
        <w:t>structured</w:t>
      </w:r>
      <w:r>
        <w:rPr>
          <w:spacing w:val="-8"/>
        </w:rPr>
        <w:t> </w:t>
      </w:r>
      <w:r>
        <w:rPr/>
        <w:t>program</w:t>
      </w:r>
      <w:r>
        <w:rPr>
          <w:spacing w:val="-7"/>
        </w:rPr>
        <w:t> </w:t>
      </w:r>
      <w:r>
        <w:rPr/>
        <w:t>of</w:t>
      </w:r>
      <w:r>
        <w:rPr>
          <w:spacing w:val="-8"/>
        </w:rPr>
        <w:t> </w:t>
      </w:r>
      <w:r>
        <w:rPr/>
        <w:t>study</w:t>
      </w:r>
      <w:r>
        <w:rPr>
          <w:spacing w:val="-8"/>
        </w:rPr>
        <w:t> </w:t>
      </w:r>
      <w:r>
        <w:rPr/>
        <w:t>that</w:t>
      </w:r>
      <w:r>
        <w:rPr>
          <w:spacing w:val="-7"/>
        </w:rPr>
        <w:t> </w:t>
      </w:r>
      <w:r>
        <w:rPr/>
        <w:t>includes</w:t>
      </w:r>
      <w:r>
        <w:rPr>
          <w:spacing w:val="-8"/>
        </w:rPr>
        <w:t> </w:t>
      </w:r>
      <w:r>
        <w:rPr/>
        <w:t>all</w:t>
      </w:r>
      <w:r>
        <w:rPr>
          <w:spacing w:val="-8"/>
        </w:rPr>
        <w:t> </w:t>
      </w:r>
      <w:r>
        <w:rPr/>
        <w:t>of</w:t>
      </w:r>
      <w:r>
        <w:rPr>
          <w:spacing w:val="-7"/>
        </w:rPr>
        <w:t> </w:t>
      </w:r>
      <w:r>
        <w:rPr/>
        <w:t>the</w:t>
      </w:r>
      <w:r>
        <w:rPr>
          <w:spacing w:val="-8"/>
        </w:rPr>
        <w:t> </w:t>
      </w:r>
      <w:r>
        <w:rPr/>
        <w:t>following</w:t>
      </w:r>
      <w:r>
        <w:rPr>
          <w:spacing w:val="-8"/>
        </w:rPr>
        <w:t> </w:t>
      </w:r>
      <w:r>
        <w:rPr/>
        <w:t>generalist</w:t>
      </w:r>
      <w:r>
        <w:rPr>
          <w:spacing w:val="-7"/>
        </w:rPr>
        <w:t> </w:t>
      </w:r>
      <w:r>
        <w:rPr/>
        <w:t>courses (30 credit</w:t>
      </w:r>
      <w:r>
        <w:rPr>
          <w:spacing w:val="-1"/>
        </w:rPr>
        <w:t> </w:t>
      </w:r>
      <w:r>
        <w:rPr/>
        <w:t>hours):</w:t>
      </w:r>
    </w:p>
    <w:p>
      <w:pPr>
        <w:pStyle w:val="ListParagraph"/>
        <w:numPr>
          <w:ilvl w:val="0"/>
          <w:numId w:val="6"/>
        </w:numPr>
        <w:tabs>
          <w:tab w:pos="1939" w:val="left" w:leader="none"/>
          <w:tab w:pos="1940" w:val="left" w:leader="none"/>
        </w:tabs>
        <w:spacing w:line="240" w:lineRule="auto" w:before="237" w:after="0"/>
        <w:ind w:left="1939" w:right="0" w:hanging="361"/>
        <w:jc w:val="left"/>
        <w:rPr>
          <w:sz w:val="24"/>
        </w:rPr>
      </w:pPr>
      <w:r>
        <w:rPr>
          <w:sz w:val="24"/>
        </w:rPr>
        <w:t>7001 Social Work Practice Skills</w:t>
      </w:r>
      <w:r>
        <w:rPr>
          <w:spacing w:val="-9"/>
          <w:sz w:val="24"/>
        </w:rPr>
        <w:t> </w:t>
      </w:r>
      <w:r>
        <w:rPr>
          <w:sz w:val="24"/>
        </w:rPr>
        <w:t>(3)</w:t>
      </w:r>
    </w:p>
    <w:p>
      <w:pPr>
        <w:pStyle w:val="ListParagraph"/>
        <w:numPr>
          <w:ilvl w:val="0"/>
          <w:numId w:val="6"/>
        </w:numPr>
        <w:tabs>
          <w:tab w:pos="1939" w:val="left" w:leader="none"/>
          <w:tab w:pos="1940" w:val="left" w:leader="none"/>
        </w:tabs>
        <w:spacing w:line="240" w:lineRule="auto" w:before="1" w:after="0"/>
        <w:ind w:left="1939" w:right="0" w:hanging="361"/>
        <w:jc w:val="left"/>
        <w:rPr>
          <w:sz w:val="24"/>
        </w:rPr>
      </w:pPr>
      <w:r>
        <w:rPr>
          <w:sz w:val="24"/>
        </w:rPr>
        <w:t>7002 Individuals and Families</w:t>
      </w:r>
      <w:r>
        <w:rPr>
          <w:spacing w:val="-15"/>
          <w:sz w:val="24"/>
        </w:rPr>
        <w:t> </w:t>
      </w:r>
      <w:r>
        <w:rPr>
          <w:sz w:val="24"/>
        </w:rPr>
        <w:t>(3)</w:t>
      </w:r>
    </w:p>
    <w:p>
      <w:pPr>
        <w:pStyle w:val="ListParagraph"/>
        <w:numPr>
          <w:ilvl w:val="0"/>
          <w:numId w:val="6"/>
        </w:numPr>
        <w:tabs>
          <w:tab w:pos="1939" w:val="left" w:leader="none"/>
          <w:tab w:pos="1940" w:val="left" w:leader="none"/>
        </w:tabs>
        <w:spacing w:line="240" w:lineRule="auto" w:before="2" w:after="0"/>
        <w:ind w:left="1939" w:right="0" w:hanging="361"/>
        <w:jc w:val="left"/>
        <w:rPr>
          <w:sz w:val="24"/>
        </w:rPr>
      </w:pPr>
      <w:r>
        <w:rPr>
          <w:sz w:val="24"/>
        </w:rPr>
        <w:t>7003 Groups</w:t>
      </w:r>
      <w:r>
        <w:rPr>
          <w:spacing w:val="-14"/>
          <w:sz w:val="24"/>
        </w:rPr>
        <w:t> </w:t>
      </w:r>
      <w:r>
        <w:rPr>
          <w:sz w:val="24"/>
        </w:rPr>
        <w:t>(3)</w:t>
      </w:r>
    </w:p>
    <w:p>
      <w:pPr>
        <w:pStyle w:val="ListParagraph"/>
        <w:numPr>
          <w:ilvl w:val="0"/>
          <w:numId w:val="6"/>
        </w:numPr>
        <w:tabs>
          <w:tab w:pos="1939" w:val="left" w:leader="none"/>
          <w:tab w:pos="1940" w:val="left" w:leader="none"/>
        </w:tabs>
        <w:spacing w:line="304" w:lineRule="exact" w:before="73" w:after="0"/>
        <w:ind w:left="1939" w:right="0" w:hanging="361"/>
        <w:jc w:val="left"/>
        <w:rPr>
          <w:sz w:val="24"/>
        </w:rPr>
      </w:pPr>
      <w:r>
        <w:rPr>
          <w:sz w:val="24"/>
        </w:rPr>
        <w:t>7005 Psychopathology</w:t>
      </w:r>
      <w:r>
        <w:rPr>
          <w:spacing w:val="-15"/>
          <w:sz w:val="24"/>
        </w:rPr>
        <w:t> </w:t>
      </w:r>
      <w:r>
        <w:rPr>
          <w:sz w:val="24"/>
        </w:rPr>
        <w:t>(3)</w:t>
      </w:r>
    </w:p>
    <w:p>
      <w:pPr>
        <w:pStyle w:val="ListParagraph"/>
        <w:numPr>
          <w:ilvl w:val="0"/>
          <w:numId w:val="6"/>
        </w:numPr>
        <w:tabs>
          <w:tab w:pos="1939" w:val="left" w:leader="none"/>
          <w:tab w:pos="1940" w:val="left" w:leader="none"/>
        </w:tabs>
        <w:spacing w:line="304" w:lineRule="exact" w:before="0" w:after="0"/>
        <w:ind w:left="1939" w:right="0" w:hanging="361"/>
        <w:jc w:val="left"/>
        <w:rPr>
          <w:sz w:val="24"/>
        </w:rPr>
      </w:pPr>
      <w:r>
        <w:rPr>
          <w:sz w:val="24"/>
        </w:rPr>
        <w:t>7021 SW Across the Lifespan</w:t>
      </w:r>
      <w:r>
        <w:rPr>
          <w:spacing w:val="-12"/>
          <w:sz w:val="24"/>
        </w:rPr>
        <w:t> </w:t>
      </w:r>
      <w:r>
        <w:rPr>
          <w:sz w:val="24"/>
        </w:rPr>
        <w:t>(3)</w:t>
      </w:r>
    </w:p>
    <w:p>
      <w:pPr>
        <w:pStyle w:val="ListParagraph"/>
        <w:numPr>
          <w:ilvl w:val="0"/>
          <w:numId w:val="6"/>
        </w:numPr>
        <w:tabs>
          <w:tab w:pos="1939" w:val="left" w:leader="none"/>
          <w:tab w:pos="1940" w:val="left" w:leader="none"/>
        </w:tabs>
        <w:spacing w:line="240" w:lineRule="auto" w:before="2" w:after="0"/>
        <w:ind w:left="1939" w:right="0" w:hanging="361"/>
        <w:jc w:val="left"/>
        <w:rPr>
          <w:sz w:val="24"/>
        </w:rPr>
      </w:pPr>
      <w:r>
        <w:rPr>
          <w:sz w:val="24"/>
        </w:rPr>
        <w:t>7022 Communities &amp; Organizations</w:t>
      </w:r>
      <w:r>
        <w:rPr>
          <w:spacing w:val="-22"/>
          <w:sz w:val="24"/>
        </w:rPr>
        <w:t> </w:t>
      </w:r>
      <w:r>
        <w:rPr>
          <w:sz w:val="24"/>
        </w:rPr>
        <w:t>(3)</w:t>
      </w:r>
    </w:p>
    <w:p>
      <w:pPr>
        <w:spacing w:after="0" w:line="240" w:lineRule="auto"/>
        <w:jc w:val="left"/>
        <w:rPr>
          <w:sz w:val="24"/>
        </w:rPr>
        <w:sectPr>
          <w:pgSz w:w="12240" w:h="15840"/>
          <w:pgMar w:header="0" w:footer="1108" w:top="1380" w:bottom="1300" w:left="300" w:right="920"/>
        </w:sectPr>
      </w:pPr>
    </w:p>
    <w:p>
      <w:pPr>
        <w:pStyle w:val="ListParagraph"/>
        <w:numPr>
          <w:ilvl w:val="0"/>
          <w:numId w:val="6"/>
        </w:numPr>
        <w:tabs>
          <w:tab w:pos="1939" w:val="left" w:leader="none"/>
          <w:tab w:pos="1940" w:val="left" w:leader="none"/>
        </w:tabs>
        <w:spacing w:line="304" w:lineRule="exact" w:before="75" w:after="0"/>
        <w:ind w:left="1939" w:right="0" w:hanging="361"/>
        <w:jc w:val="left"/>
        <w:rPr>
          <w:sz w:val="24"/>
        </w:rPr>
      </w:pPr>
      <w:r>
        <w:rPr>
          <w:sz w:val="24"/>
        </w:rPr>
        <w:t>7030 Social Welfare Policy</w:t>
      </w:r>
      <w:r>
        <w:rPr>
          <w:spacing w:val="-9"/>
          <w:sz w:val="24"/>
        </w:rPr>
        <w:t> </w:t>
      </w:r>
      <w:r>
        <w:rPr>
          <w:sz w:val="24"/>
        </w:rPr>
        <w:t>(3)</w:t>
      </w:r>
    </w:p>
    <w:p>
      <w:pPr>
        <w:pStyle w:val="ListParagraph"/>
        <w:numPr>
          <w:ilvl w:val="0"/>
          <w:numId w:val="6"/>
        </w:numPr>
        <w:tabs>
          <w:tab w:pos="1939" w:val="left" w:leader="none"/>
          <w:tab w:pos="1940" w:val="left" w:leader="none"/>
        </w:tabs>
        <w:spacing w:line="304" w:lineRule="exact" w:before="0" w:after="0"/>
        <w:ind w:left="1939" w:right="0" w:hanging="361"/>
        <w:jc w:val="left"/>
        <w:rPr>
          <w:sz w:val="24"/>
        </w:rPr>
      </w:pPr>
      <w:r>
        <w:rPr>
          <w:sz w:val="24"/>
        </w:rPr>
        <w:t>7051 Field Placement I</w:t>
      </w:r>
      <w:r>
        <w:rPr>
          <w:spacing w:val="-13"/>
          <w:sz w:val="24"/>
        </w:rPr>
        <w:t> </w:t>
      </w:r>
      <w:r>
        <w:rPr>
          <w:sz w:val="24"/>
        </w:rPr>
        <w:t>(3)</w:t>
      </w:r>
    </w:p>
    <w:p>
      <w:pPr>
        <w:pStyle w:val="ListParagraph"/>
        <w:numPr>
          <w:ilvl w:val="0"/>
          <w:numId w:val="6"/>
        </w:numPr>
        <w:tabs>
          <w:tab w:pos="1939" w:val="left" w:leader="none"/>
          <w:tab w:pos="1940" w:val="left" w:leader="none"/>
        </w:tabs>
        <w:spacing w:line="240" w:lineRule="auto" w:before="1" w:after="0"/>
        <w:ind w:left="1939" w:right="0" w:hanging="361"/>
        <w:jc w:val="left"/>
        <w:rPr>
          <w:sz w:val="24"/>
        </w:rPr>
      </w:pPr>
      <w:r>
        <w:rPr>
          <w:sz w:val="24"/>
        </w:rPr>
        <w:t>7052 Field Placement II</w:t>
      </w:r>
      <w:r>
        <w:rPr>
          <w:spacing w:val="-13"/>
          <w:sz w:val="24"/>
        </w:rPr>
        <w:t> </w:t>
      </w:r>
      <w:r>
        <w:rPr>
          <w:sz w:val="24"/>
        </w:rPr>
        <w:t>(3)</w:t>
      </w:r>
    </w:p>
    <w:p>
      <w:pPr>
        <w:pStyle w:val="ListParagraph"/>
        <w:numPr>
          <w:ilvl w:val="0"/>
          <w:numId w:val="6"/>
        </w:numPr>
        <w:tabs>
          <w:tab w:pos="1939" w:val="left" w:leader="none"/>
          <w:tab w:pos="1940" w:val="left" w:leader="none"/>
        </w:tabs>
        <w:spacing w:line="304" w:lineRule="exact" w:before="2" w:after="0"/>
        <w:ind w:left="1939" w:right="0" w:hanging="361"/>
        <w:jc w:val="left"/>
        <w:rPr>
          <w:sz w:val="24"/>
        </w:rPr>
      </w:pPr>
      <w:r>
        <w:rPr>
          <w:sz w:val="24"/>
        </w:rPr>
        <w:t>One Elective (3)</w:t>
      </w:r>
    </w:p>
    <w:p>
      <w:pPr>
        <w:pStyle w:val="BodyText"/>
        <w:spacing w:line="292" w:lineRule="exact"/>
        <w:ind w:left="1578"/>
        <w:rPr>
          <w:rFonts w:ascii="Symbol" w:hAnsi="Symbol"/>
        </w:rPr>
      </w:pPr>
      <w:r>
        <w:rPr>
          <w:rFonts w:ascii="Symbol" w:hAnsi="Symbol"/>
        </w:rPr>
        <w:t></w:t>
      </w:r>
    </w:p>
    <w:p>
      <w:pPr>
        <w:pStyle w:val="BodyText"/>
        <w:spacing w:line="244" w:lineRule="auto" w:before="251"/>
        <w:ind w:left="860" w:right="212"/>
        <w:jc w:val="both"/>
      </w:pPr>
      <w:r>
        <w:rPr/>
        <w:t>Advanced Standing students take the following generalist curriculum during the summer before their specialization year:</w:t>
      </w:r>
    </w:p>
    <w:p>
      <w:pPr>
        <w:pStyle w:val="ListParagraph"/>
        <w:numPr>
          <w:ilvl w:val="0"/>
          <w:numId w:val="6"/>
        </w:numPr>
        <w:tabs>
          <w:tab w:pos="1939" w:val="left" w:leader="none"/>
          <w:tab w:pos="1940" w:val="left" w:leader="none"/>
        </w:tabs>
        <w:spacing w:line="240" w:lineRule="auto" w:before="230" w:after="0"/>
        <w:ind w:left="1939" w:right="0" w:hanging="361"/>
        <w:jc w:val="left"/>
        <w:rPr>
          <w:sz w:val="24"/>
        </w:rPr>
      </w:pPr>
      <w:r>
        <w:rPr>
          <w:sz w:val="24"/>
        </w:rPr>
        <w:t>7005 Psychopathology</w:t>
      </w:r>
      <w:r>
        <w:rPr>
          <w:spacing w:val="-15"/>
          <w:sz w:val="24"/>
        </w:rPr>
        <w:t> </w:t>
      </w:r>
      <w:r>
        <w:rPr>
          <w:sz w:val="24"/>
        </w:rPr>
        <w:t>(3)</w:t>
      </w:r>
    </w:p>
    <w:p>
      <w:pPr>
        <w:pStyle w:val="ListParagraph"/>
        <w:numPr>
          <w:ilvl w:val="0"/>
          <w:numId w:val="6"/>
        </w:numPr>
        <w:tabs>
          <w:tab w:pos="1939" w:val="left" w:leader="none"/>
          <w:tab w:pos="1940" w:val="left" w:leader="none"/>
        </w:tabs>
        <w:spacing w:line="304" w:lineRule="exact" w:before="1" w:after="0"/>
        <w:ind w:left="1939" w:right="0" w:hanging="361"/>
        <w:jc w:val="left"/>
        <w:rPr>
          <w:sz w:val="24"/>
        </w:rPr>
      </w:pPr>
      <w:r>
        <w:rPr>
          <w:sz w:val="24"/>
        </w:rPr>
        <w:t>7030 Social Welfare Policy</w:t>
      </w:r>
      <w:r>
        <w:rPr>
          <w:spacing w:val="-9"/>
          <w:sz w:val="24"/>
        </w:rPr>
        <w:t> </w:t>
      </w:r>
      <w:r>
        <w:rPr>
          <w:sz w:val="24"/>
        </w:rPr>
        <w:t>(3)</w:t>
      </w:r>
    </w:p>
    <w:p>
      <w:pPr>
        <w:pStyle w:val="ListParagraph"/>
        <w:numPr>
          <w:ilvl w:val="0"/>
          <w:numId w:val="6"/>
        </w:numPr>
        <w:tabs>
          <w:tab w:pos="1939" w:val="left" w:leader="none"/>
          <w:tab w:pos="1940" w:val="left" w:leader="none"/>
        </w:tabs>
        <w:spacing w:line="304" w:lineRule="exact" w:before="0" w:after="0"/>
        <w:ind w:left="1939" w:right="0" w:hanging="361"/>
        <w:jc w:val="left"/>
        <w:rPr>
          <w:sz w:val="24"/>
        </w:rPr>
      </w:pPr>
      <w:r>
        <w:rPr>
          <w:sz w:val="24"/>
        </w:rPr>
        <w:t>7050 Advanced Standing Field</w:t>
      </w:r>
      <w:r>
        <w:rPr>
          <w:spacing w:val="-16"/>
          <w:sz w:val="24"/>
        </w:rPr>
        <w:t> </w:t>
      </w:r>
      <w:r>
        <w:rPr>
          <w:sz w:val="24"/>
        </w:rPr>
        <w:t>(1)</w:t>
      </w:r>
    </w:p>
    <w:p>
      <w:pPr>
        <w:pStyle w:val="BodyText"/>
        <w:rPr>
          <w:sz w:val="30"/>
        </w:rPr>
      </w:pPr>
    </w:p>
    <w:p>
      <w:pPr>
        <w:pStyle w:val="BodyText"/>
        <w:spacing w:before="8"/>
        <w:rPr>
          <w:sz w:val="33"/>
        </w:rPr>
      </w:pPr>
    </w:p>
    <w:p>
      <w:pPr>
        <w:pStyle w:val="Heading2"/>
        <w:ind w:left="859"/>
        <w:jc w:val="both"/>
      </w:pPr>
      <w:r>
        <w:rPr>
          <w:color w:val="1F497C"/>
        </w:rPr>
        <w:t>SPECIALIZATION CURRICULUM</w:t>
      </w:r>
    </w:p>
    <w:p>
      <w:pPr>
        <w:pStyle w:val="BodyText"/>
        <w:spacing w:before="236"/>
        <w:ind w:left="860" w:right="209"/>
        <w:jc w:val="both"/>
      </w:pPr>
      <w:r>
        <w:rPr/>
        <w:t>The MSW program at the University of Memphis offers two specializations: 1) </w:t>
      </w:r>
      <w:r>
        <w:rPr>
          <w:i/>
        </w:rPr>
        <w:t>Advanced Practice with </w:t>
      </w:r>
      <w:r>
        <w:rPr>
          <w:i/>
        </w:rPr>
        <w:t>Children</w:t>
      </w:r>
      <w:r>
        <w:rPr>
          <w:i/>
          <w:spacing w:val="-9"/>
        </w:rPr>
        <w:t> </w:t>
      </w:r>
      <w:r>
        <w:rPr>
          <w:i/>
        </w:rPr>
        <w:t>and</w:t>
      </w:r>
      <w:r>
        <w:rPr>
          <w:i/>
          <w:spacing w:val="-8"/>
        </w:rPr>
        <w:t> </w:t>
      </w:r>
      <w:r>
        <w:rPr>
          <w:i/>
        </w:rPr>
        <w:t>Families</w:t>
      </w:r>
      <w:r>
        <w:rPr>
          <w:i/>
          <w:spacing w:val="-9"/>
        </w:rPr>
        <w:t> </w:t>
      </w:r>
      <w:r>
        <w:rPr/>
        <w:t>and</w:t>
      </w:r>
      <w:r>
        <w:rPr>
          <w:spacing w:val="-8"/>
        </w:rPr>
        <w:t> </w:t>
      </w:r>
      <w:r>
        <w:rPr/>
        <w:t>2)</w:t>
      </w:r>
      <w:r>
        <w:rPr>
          <w:spacing w:val="-8"/>
        </w:rPr>
        <w:t> </w:t>
      </w:r>
      <w:r>
        <w:rPr>
          <w:i/>
        </w:rPr>
        <w:t>Advanced</w:t>
      </w:r>
      <w:r>
        <w:rPr>
          <w:i/>
          <w:spacing w:val="-9"/>
        </w:rPr>
        <w:t> </w:t>
      </w:r>
      <w:r>
        <w:rPr>
          <w:i/>
        </w:rPr>
        <w:t>Practice</w:t>
      </w:r>
      <w:r>
        <w:rPr>
          <w:i/>
          <w:spacing w:val="-8"/>
        </w:rPr>
        <w:t> </w:t>
      </w:r>
      <w:r>
        <w:rPr>
          <w:i/>
        </w:rPr>
        <w:t>with</w:t>
      </w:r>
      <w:r>
        <w:rPr>
          <w:i/>
          <w:spacing w:val="-9"/>
        </w:rPr>
        <w:t> </w:t>
      </w:r>
      <w:r>
        <w:rPr>
          <w:i/>
        </w:rPr>
        <w:t>Adults</w:t>
      </w:r>
      <w:r>
        <w:rPr>
          <w:i/>
          <w:spacing w:val="-8"/>
        </w:rPr>
        <w:t> </w:t>
      </w:r>
      <w:r>
        <w:rPr>
          <w:i/>
        </w:rPr>
        <w:t>and</w:t>
      </w:r>
      <w:r>
        <w:rPr>
          <w:i/>
          <w:spacing w:val="-8"/>
        </w:rPr>
        <w:t> </w:t>
      </w:r>
      <w:r>
        <w:rPr>
          <w:i/>
        </w:rPr>
        <w:t>Families</w:t>
      </w:r>
      <w:r>
        <w:rPr/>
        <w:t>.</w:t>
      </w:r>
      <w:r>
        <w:rPr>
          <w:spacing w:val="-9"/>
        </w:rPr>
        <w:t> </w:t>
      </w:r>
      <w:r>
        <w:rPr/>
        <w:t>The</w:t>
      </w:r>
      <w:r>
        <w:rPr>
          <w:spacing w:val="-8"/>
        </w:rPr>
        <w:t> </w:t>
      </w:r>
      <w:r>
        <w:rPr/>
        <w:t>goal</w:t>
      </w:r>
      <w:r>
        <w:rPr>
          <w:spacing w:val="-9"/>
        </w:rPr>
        <w:t> </w:t>
      </w:r>
      <w:r>
        <w:rPr/>
        <w:t>of</w:t>
      </w:r>
      <w:r>
        <w:rPr>
          <w:spacing w:val="-8"/>
        </w:rPr>
        <w:t> </w:t>
      </w:r>
      <w:r>
        <w:rPr/>
        <w:t>the</w:t>
      </w:r>
      <w:r>
        <w:rPr>
          <w:spacing w:val="-8"/>
        </w:rPr>
        <w:t> </w:t>
      </w:r>
      <w:r>
        <w:rPr/>
        <w:t>specializations is to advance the generalist content in a manner that prepares students to utilize evidence-based, ethically-informed social work practices to help either children/youth or adults and families promote, restore,</w:t>
      </w:r>
      <w:r>
        <w:rPr>
          <w:spacing w:val="-9"/>
        </w:rPr>
        <w:t> </w:t>
      </w:r>
      <w:r>
        <w:rPr/>
        <w:t>and</w:t>
      </w:r>
      <w:r>
        <w:rPr>
          <w:spacing w:val="-9"/>
        </w:rPr>
        <w:t> </w:t>
      </w:r>
      <w:r>
        <w:rPr/>
        <w:t>maintain</w:t>
      </w:r>
      <w:r>
        <w:rPr>
          <w:spacing w:val="-8"/>
        </w:rPr>
        <w:t> </w:t>
      </w:r>
      <w:r>
        <w:rPr/>
        <w:t>social</w:t>
      </w:r>
      <w:r>
        <w:rPr>
          <w:spacing w:val="-9"/>
        </w:rPr>
        <w:t> </w:t>
      </w:r>
      <w:r>
        <w:rPr/>
        <w:t>functioning.</w:t>
      </w:r>
      <w:r>
        <w:rPr>
          <w:spacing w:val="-9"/>
        </w:rPr>
        <w:t> </w:t>
      </w:r>
      <w:r>
        <w:rPr/>
        <w:t>The</w:t>
      </w:r>
      <w:r>
        <w:rPr>
          <w:spacing w:val="-8"/>
        </w:rPr>
        <w:t> </w:t>
      </w:r>
      <w:r>
        <w:rPr/>
        <w:t>knowledge,</w:t>
      </w:r>
      <w:r>
        <w:rPr>
          <w:spacing w:val="-9"/>
        </w:rPr>
        <w:t> </w:t>
      </w:r>
      <w:r>
        <w:rPr/>
        <w:t>skills,</w:t>
      </w:r>
      <w:r>
        <w:rPr>
          <w:spacing w:val="-9"/>
        </w:rPr>
        <w:t> </w:t>
      </w:r>
      <w:r>
        <w:rPr/>
        <w:t>and</w:t>
      </w:r>
      <w:r>
        <w:rPr>
          <w:spacing w:val="-8"/>
        </w:rPr>
        <w:t> </w:t>
      </w:r>
      <w:r>
        <w:rPr/>
        <w:t>competencies</w:t>
      </w:r>
      <w:r>
        <w:rPr>
          <w:spacing w:val="-9"/>
        </w:rPr>
        <w:t> </w:t>
      </w:r>
      <w:r>
        <w:rPr/>
        <w:t>acquired</w:t>
      </w:r>
      <w:r>
        <w:rPr>
          <w:spacing w:val="-9"/>
        </w:rPr>
        <w:t> </w:t>
      </w:r>
      <w:r>
        <w:rPr/>
        <w:t>by</w:t>
      </w:r>
      <w:r>
        <w:rPr>
          <w:spacing w:val="-8"/>
        </w:rPr>
        <w:t> </w:t>
      </w:r>
      <w:r>
        <w:rPr/>
        <w:t>students in</w:t>
      </w:r>
      <w:r>
        <w:rPr>
          <w:spacing w:val="-8"/>
        </w:rPr>
        <w:t> </w:t>
      </w:r>
      <w:r>
        <w:rPr/>
        <w:t>the</w:t>
      </w:r>
      <w:r>
        <w:rPr>
          <w:spacing w:val="-8"/>
        </w:rPr>
        <w:t> </w:t>
      </w:r>
      <w:r>
        <w:rPr/>
        <w:t>specialization</w:t>
      </w:r>
      <w:r>
        <w:rPr>
          <w:spacing w:val="-8"/>
        </w:rPr>
        <w:t> </w:t>
      </w:r>
      <w:r>
        <w:rPr/>
        <w:t>are</w:t>
      </w:r>
      <w:r>
        <w:rPr>
          <w:spacing w:val="-7"/>
        </w:rPr>
        <w:t> </w:t>
      </w:r>
      <w:r>
        <w:rPr/>
        <w:t>designed</w:t>
      </w:r>
      <w:r>
        <w:rPr>
          <w:spacing w:val="-8"/>
        </w:rPr>
        <w:t> </w:t>
      </w:r>
      <w:r>
        <w:rPr/>
        <w:t>to</w:t>
      </w:r>
      <w:r>
        <w:rPr>
          <w:spacing w:val="-8"/>
        </w:rPr>
        <w:t> </w:t>
      </w:r>
      <w:r>
        <w:rPr/>
        <w:t>produce</w:t>
      </w:r>
      <w:r>
        <w:rPr>
          <w:spacing w:val="-7"/>
        </w:rPr>
        <w:t> </w:t>
      </w:r>
      <w:r>
        <w:rPr/>
        <w:t>advanced</w:t>
      </w:r>
      <w:r>
        <w:rPr>
          <w:spacing w:val="-8"/>
        </w:rPr>
        <w:t> </w:t>
      </w:r>
      <w:r>
        <w:rPr/>
        <w:t>social</w:t>
      </w:r>
      <w:r>
        <w:rPr>
          <w:spacing w:val="-8"/>
        </w:rPr>
        <w:t> </w:t>
      </w:r>
      <w:r>
        <w:rPr/>
        <w:t>work</w:t>
      </w:r>
      <w:r>
        <w:rPr>
          <w:spacing w:val="-8"/>
        </w:rPr>
        <w:t> </w:t>
      </w:r>
      <w:r>
        <w:rPr/>
        <w:t>practitioners</w:t>
      </w:r>
      <w:r>
        <w:rPr>
          <w:spacing w:val="-7"/>
        </w:rPr>
        <w:t> </w:t>
      </w:r>
      <w:r>
        <w:rPr/>
        <w:t>who</w:t>
      </w:r>
      <w:r>
        <w:rPr>
          <w:spacing w:val="-8"/>
        </w:rPr>
        <w:t> </w:t>
      </w:r>
      <w:r>
        <w:rPr/>
        <w:t>have</w:t>
      </w:r>
      <w:r>
        <w:rPr>
          <w:spacing w:val="-8"/>
        </w:rPr>
        <w:t> </w:t>
      </w:r>
      <w:r>
        <w:rPr/>
        <w:t>the</w:t>
      </w:r>
      <w:r>
        <w:rPr>
          <w:spacing w:val="-7"/>
        </w:rPr>
        <w:t> </w:t>
      </w:r>
      <w:r>
        <w:rPr/>
        <w:t>skills</w:t>
      </w:r>
      <w:r>
        <w:rPr>
          <w:spacing w:val="-8"/>
        </w:rPr>
        <w:t> </w:t>
      </w:r>
      <w:r>
        <w:rPr/>
        <w:t>for ethically-informed social work practice including advanced assessment, relationship building/enhancement, application of goal-oriented and evidence-based interventions, evaluation of practice, and lifelong professional</w:t>
      </w:r>
      <w:r>
        <w:rPr>
          <w:spacing w:val="-1"/>
        </w:rPr>
        <w:t> </w:t>
      </w:r>
      <w:r>
        <w:rPr/>
        <w:t>development.</w:t>
      </w:r>
    </w:p>
    <w:p>
      <w:pPr>
        <w:pStyle w:val="BodyText"/>
        <w:spacing w:before="238"/>
        <w:ind w:left="860" w:right="210"/>
        <w:jc w:val="both"/>
      </w:pPr>
      <w:r>
        <w:rPr/>
        <w:t>Upon successful completion of all generalist courses, students move to the specialization curriculum, which includes all the following courses (30 credit hours).</w:t>
      </w:r>
    </w:p>
    <w:p>
      <w:pPr>
        <w:pStyle w:val="Heading2"/>
        <w:spacing w:before="235"/>
        <w:ind w:left="860"/>
        <w:jc w:val="both"/>
      </w:pPr>
      <w:r>
        <w:rPr/>
        <w:t>Advanced Practice with Children, Youth, and Families</w:t>
      </w:r>
    </w:p>
    <w:p>
      <w:pPr>
        <w:pStyle w:val="ListParagraph"/>
        <w:numPr>
          <w:ilvl w:val="0"/>
          <w:numId w:val="6"/>
        </w:numPr>
        <w:tabs>
          <w:tab w:pos="1939" w:val="left" w:leader="none"/>
          <w:tab w:pos="1940" w:val="left" w:leader="none"/>
        </w:tabs>
        <w:spacing w:line="240" w:lineRule="auto" w:before="232" w:after="0"/>
        <w:ind w:left="1939" w:right="0" w:hanging="361"/>
        <w:jc w:val="left"/>
        <w:rPr>
          <w:sz w:val="24"/>
        </w:rPr>
      </w:pPr>
      <w:r>
        <w:rPr>
          <w:sz w:val="24"/>
        </w:rPr>
        <w:t>7016 Adv. Individual Child/Youth</w:t>
      </w:r>
      <w:r>
        <w:rPr>
          <w:spacing w:val="-21"/>
          <w:sz w:val="24"/>
        </w:rPr>
        <w:t> </w:t>
      </w:r>
      <w:r>
        <w:rPr>
          <w:sz w:val="24"/>
        </w:rPr>
        <w:t>(3)</w:t>
      </w:r>
    </w:p>
    <w:p>
      <w:pPr>
        <w:pStyle w:val="ListParagraph"/>
        <w:numPr>
          <w:ilvl w:val="0"/>
          <w:numId w:val="6"/>
        </w:numPr>
        <w:tabs>
          <w:tab w:pos="1939" w:val="left" w:leader="none"/>
          <w:tab w:pos="1940" w:val="left" w:leader="none"/>
        </w:tabs>
        <w:spacing w:line="304" w:lineRule="exact" w:before="1" w:after="0"/>
        <w:ind w:left="1939" w:right="0" w:hanging="361"/>
        <w:jc w:val="left"/>
        <w:rPr>
          <w:sz w:val="24"/>
        </w:rPr>
      </w:pPr>
      <w:r>
        <w:rPr>
          <w:sz w:val="24"/>
        </w:rPr>
        <w:t>7025 Scientific Methods</w:t>
      </w:r>
      <w:r>
        <w:rPr>
          <w:spacing w:val="-8"/>
          <w:sz w:val="24"/>
        </w:rPr>
        <w:t> </w:t>
      </w:r>
      <w:r>
        <w:rPr>
          <w:sz w:val="24"/>
        </w:rPr>
        <w:t>(3)</w:t>
      </w:r>
    </w:p>
    <w:p>
      <w:pPr>
        <w:pStyle w:val="ListParagraph"/>
        <w:numPr>
          <w:ilvl w:val="0"/>
          <w:numId w:val="6"/>
        </w:numPr>
        <w:tabs>
          <w:tab w:pos="1939" w:val="left" w:leader="none"/>
          <w:tab w:pos="1940" w:val="left" w:leader="none"/>
        </w:tabs>
        <w:spacing w:line="304" w:lineRule="exact" w:before="0" w:after="0"/>
        <w:ind w:left="1939" w:right="0" w:hanging="361"/>
        <w:jc w:val="left"/>
        <w:rPr>
          <w:sz w:val="24"/>
        </w:rPr>
      </w:pPr>
      <w:r>
        <w:rPr>
          <w:sz w:val="24"/>
        </w:rPr>
        <w:t>7026 Evaluative Research</w:t>
      </w:r>
      <w:r>
        <w:rPr>
          <w:spacing w:val="-17"/>
          <w:sz w:val="24"/>
        </w:rPr>
        <w:t> </w:t>
      </w:r>
      <w:r>
        <w:rPr>
          <w:sz w:val="24"/>
        </w:rPr>
        <w:t>(3)</w:t>
      </w:r>
    </w:p>
    <w:p>
      <w:pPr>
        <w:pStyle w:val="ListParagraph"/>
        <w:numPr>
          <w:ilvl w:val="0"/>
          <w:numId w:val="6"/>
        </w:numPr>
        <w:tabs>
          <w:tab w:pos="1939" w:val="left" w:leader="none"/>
          <w:tab w:pos="1940" w:val="left" w:leader="none"/>
        </w:tabs>
        <w:spacing w:line="240" w:lineRule="auto" w:before="2" w:after="0"/>
        <w:ind w:left="1939" w:right="0" w:hanging="361"/>
        <w:jc w:val="left"/>
        <w:rPr>
          <w:sz w:val="24"/>
        </w:rPr>
      </w:pPr>
      <w:r>
        <w:rPr>
          <w:sz w:val="24"/>
        </w:rPr>
        <w:t>7032 Adv. Community Child/Youth</w:t>
      </w:r>
      <w:r>
        <w:rPr>
          <w:spacing w:val="-20"/>
          <w:sz w:val="24"/>
        </w:rPr>
        <w:t> </w:t>
      </w:r>
      <w:r>
        <w:rPr>
          <w:sz w:val="24"/>
        </w:rPr>
        <w:t>(3)</w:t>
      </w:r>
    </w:p>
    <w:p>
      <w:pPr>
        <w:pStyle w:val="ListParagraph"/>
        <w:numPr>
          <w:ilvl w:val="0"/>
          <w:numId w:val="6"/>
        </w:numPr>
        <w:tabs>
          <w:tab w:pos="1939" w:val="left" w:leader="none"/>
          <w:tab w:pos="1940" w:val="left" w:leader="none"/>
        </w:tabs>
        <w:spacing w:line="304" w:lineRule="exact" w:before="1" w:after="0"/>
        <w:ind w:left="1939" w:right="0" w:hanging="361"/>
        <w:jc w:val="left"/>
        <w:rPr>
          <w:sz w:val="24"/>
        </w:rPr>
      </w:pPr>
      <w:r>
        <w:rPr>
          <w:sz w:val="24"/>
        </w:rPr>
        <w:t>7053  Field Placement III</w:t>
      </w:r>
      <w:r>
        <w:rPr>
          <w:spacing w:val="-14"/>
          <w:sz w:val="24"/>
        </w:rPr>
        <w:t> </w:t>
      </w:r>
      <w:r>
        <w:rPr>
          <w:sz w:val="24"/>
        </w:rPr>
        <w:t>(3)</w:t>
      </w:r>
    </w:p>
    <w:p>
      <w:pPr>
        <w:pStyle w:val="ListParagraph"/>
        <w:numPr>
          <w:ilvl w:val="0"/>
          <w:numId w:val="6"/>
        </w:numPr>
        <w:tabs>
          <w:tab w:pos="1939" w:val="left" w:leader="none"/>
          <w:tab w:pos="1940" w:val="left" w:leader="none"/>
        </w:tabs>
        <w:spacing w:line="304" w:lineRule="exact" w:before="0" w:after="0"/>
        <w:ind w:left="1939" w:right="0" w:hanging="361"/>
        <w:jc w:val="left"/>
        <w:rPr>
          <w:sz w:val="24"/>
        </w:rPr>
      </w:pPr>
      <w:r>
        <w:rPr>
          <w:sz w:val="24"/>
        </w:rPr>
        <w:t>7054  Field Placement IV</w:t>
      </w:r>
      <w:r>
        <w:rPr>
          <w:spacing w:val="-13"/>
          <w:sz w:val="24"/>
        </w:rPr>
        <w:t> </w:t>
      </w:r>
      <w:r>
        <w:rPr>
          <w:sz w:val="24"/>
        </w:rPr>
        <w:t>(3)</w:t>
      </w:r>
    </w:p>
    <w:p>
      <w:pPr>
        <w:pStyle w:val="ListParagraph"/>
        <w:numPr>
          <w:ilvl w:val="0"/>
          <w:numId w:val="6"/>
        </w:numPr>
        <w:tabs>
          <w:tab w:pos="1939" w:val="left" w:leader="none"/>
          <w:tab w:pos="1940" w:val="left" w:leader="none"/>
        </w:tabs>
        <w:spacing w:line="240" w:lineRule="auto" w:before="2" w:after="0"/>
        <w:ind w:left="1939" w:right="0" w:hanging="356"/>
        <w:jc w:val="left"/>
        <w:rPr>
          <w:sz w:val="24"/>
        </w:rPr>
      </w:pPr>
      <w:r>
        <w:rPr>
          <w:sz w:val="24"/>
        </w:rPr>
        <w:t>7055 Integrative Field Seminar I</w:t>
      </w:r>
      <w:r>
        <w:rPr>
          <w:spacing w:val="42"/>
          <w:sz w:val="24"/>
        </w:rPr>
        <w:t> </w:t>
      </w:r>
      <w:r>
        <w:rPr>
          <w:sz w:val="24"/>
        </w:rPr>
        <w:t>(3)</w:t>
      </w:r>
    </w:p>
    <w:p>
      <w:pPr>
        <w:pStyle w:val="ListParagraph"/>
        <w:numPr>
          <w:ilvl w:val="0"/>
          <w:numId w:val="6"/>
        </w:numPr>
        <w:tabs>
          <w:tab w:pos="1939" w:val="left" w:leader="none"/>
          <w:tab w:pos="1940" w:val="left" w:leader="none"/>
        </w:tabs>
        <w:spacing w:line="304" w:lineRule="exact" w:before="1" w:after="0"/>
        <w:ind w:left="1939" w:right="0" w:hanging="356"/>
        <w:jc w:val="left"/>
        <w:rPr>
          <w:sz w:val="24"/>
        </w:rPr>
      </w:pPr>
      <w:r>
        <w:rPr>
          <w:sz w:val="24"/>
        </w:rPr>
        <w:t>7056 Integrative Field Seminar II</w:t>
      </w:r>
      <w:r>
        <w:rPr>
          <w:spacing w:val="-13"/>
          <w:sz w:val="24"/>
        </w:rPr>
        <w:t> </w:t>
      </w:r>
      <w:r>
        <w:rPr>
          <w:sz w:val="24"/>
        </w:rPr>
        <w:t>(3)</w:t>
      </w:r>
    </w:p>
    <w:p>
      <w:pPr>
        <w:pStyle w:val="ListParagraph"/>
        <w:numPr>
          <w:ilvl w:val="0"/>
          <w:numId w:val="6"/>
        </w:numPr>
        <w:tabs>
          <w:tab w:pos="1939" w:val="left" w:leader="none"/>
          <w:tab w:pos="1940" w:val="left" w:leader="none"/>
        </w:tabs>
        <w:spacing w:line="304" w:lineRule="exact" w:before="0" w:after="0"/>
        <w:ind w:left="1939" w:right="0" w:hanging="361"/>
        <w:jc w:val="left"/>
        <w:rPr>
          <w:sz w:val="24"/>
        </w:rPr>
      </w:pPr>
      <w:r>
        <w:rPr>
          <w:sz w:val="24"/>
        </w:rPr>
        <w:t>Two Electives (3 credits each for a total of 6</w:t>
      </w:r>
      <w:r>
        <w:rPr>
          <w:spacing w:val="-17"/>
          <w:sz w:val="24"/>
        </w:rPr>
        <w:t> </w:t>
      </w:r>
      <w:r>
        <w:rPr>
          <w:sz w:val="24"/>
        </w:rPr>
        <w:t>credits)</w:t>
      </w:r>
    </w:p>
    <w:p>
      <w:pPr>
        <w:spacing w:after="0" w:line="304" w:lineRule="exact"/>
        <w:jc w:val="left"/>
        <w:rPr>
          <w:sz w:val="24"/>
        </w:rPr>
        <w:sectPr>
          <w:pgSz w:w="12240" w:h="15840"/>
          <w:pgMar w:header="0" w:footer="1108" w:top="1380" w:bottom="1300" w:left="300" w:right="920"/>
        </w:sectPr>
      </w:pPr>
    </w:p>
    <w:p>
      <w:pPr>
        <w:pStyle w:val="Heading2"/>
        <w:spacing w:before="73"/>
        <w:ind w:left="859"/>
        <w:jc w:val="both"/>
      </w:pPr>
      <w:r>
        <w:rPr/>
        <w:t>Advanced Practice with Adults and Families</w:t>
      </w:r>
    </w:p>
    <w:p>
      <w:pPr>
        <w:pStyle w:val="BodyText"/>
        <w:spacing w:before="1"/>
        <w:rPr>
          <w:b/>
        </w:rPr>
      </w:pPr>
    </w:p>
    <w:p>
      <w:pPr>
        <w:pStyle w:val="ListParagraph"/>
        <w:numPr>
          <w:ilvl w:val="0"/>
          <w:numId w:val="6"/>
        </w:numPr>
        <w:tabs>
          <w:tab w:pos="1939" w:val="left" w:leader="none"/>
          <w:tab w:pos="1940" w:val="left" w:leader="none"/>
        </w:tabs>
        <w:spacing w:line="304" w:lineRule="exact" w:before="0" w:after="0"/>
        <w:ind w:left="1939" w:right="0" w:hanging="356"/>
        <w:jc w:val="left"/>
        <w:rPr>
          <w:sz w:val="24"/>
        </w:rPr>
      </w:pPr>
      <w:r>
        <w:rPr>
          <w:sz w:val="24"/>
        </w:rPr>
        <w:t>7018 Adv. Individual Adults</w:t>
      </w:r>
      <w:r>
        <w:rPr>
          <w:spacing w:val="-12"/>
          <w:sz w:val="24"/>
        </w:rPr>
        <w:t> </w:t>
      </w:r>
      <w:r>
        <w:rPr>
          <w:sz w:val="24"/>
        </w:rPr>
        <w:t>(3)</w:t>
      </w:r>
    </w:p>
    <w:p>
      <w:pPr>
        <w:pStyle w:val="ListParagraph"/>
        <w:numPr>
          <w:ilvl w:val="0"/>
          <w:numId w:val="6"/>
        </w:numPr>
        <w:tabs>
          <w:tab w:pos="1939" w:val="left" w:leader="none"/>
          <w:tab w:pos="1940" w:val="left" w:leader="none"/>
        </w:tabs>
        <w:spacing w:line="304" w:lineRule="exact" w:before="0" w:after="0"/>
        <w:ind w:left="1939" w:right="0" w:hanging="356"/>
        <w:jc w:val="left"/>
        <w:rPr>
          <w:sz w:val="24"/>
        </w:rPr>
      </w:pPr>
      <w:r>
        <w:rPr>
          <w:sz w:val="24"/>
        </w:rPr>
        <w:t>7025 Scientific Methods</w:t>
      </w:r>
      <w:r>
        <w:rPr>
          <w:spacing w:val="-8"/>
          <w:sz w:val="24"/>
        </w:rPr>
        <w:t> </w:t>
      </w:r>
      <w:r>
        <w:rPr>
          <w:sz w:val="24"/>
        </w:rPr>
        <w:t>(3)</w:t>
      </w:r>
    </w:p>
    <w:p>
      <w:pPr>
        <w:pStyle w:val="ListParagraph"/>
        <w:numPr>
          <w:ilvl w:val="0"/>
          <w:numId w:val="6"/>
        </w:numPr>
        <w:tabs>
          <w:tab w:pos="1939" w:val="left" w:leader="none"/>
          <w:tab w:pos="1940" w:val="left" w:leader="none"/>
        </w:tabs>
        <w:spacing w:line="240" w:lineRule="auto" w:before="2" w:after="0"/>
        <w:ind w:left="1939" w:right="0" w:hanging="356"/>
        <w:jc w:val="left"/>
        <w:rPr>
          <w:sz w:val="24"/>
        </w:rPr>
      </w:pPr>
      <w:r>
        <w:rPr>
          <w:sz w:val="24"/>
        </w:rPr>
        <w:t>7026 Evaluative Research</w:t>
      </w:r>
      <w:r>
        <w:rPr>
          <w:spacing w:val="-17"/>
          <w:sz w:val="24"/>
        </w:rPr>
        <w:t> </w:t>
      </w:r>
      <w:r>
        <w:rPr>
          <w:sz w:val="24"/>
        </w:rPr>
        <w:t>(3)</w:t>
      </w:r>
    </w:p>
    <w:p>
      <w:pPr>
        <w:pStyle w:val="ListParagraph"/>
        <w:numPr>
          <w:ilvl w:val="0"/>
          <w:numId w:val="6"/>
        </w:numPr>
        <w:tabs>
          <w:tab w:pos="1939" w:val="left" w:leader="none"/>
          <w:tab w:pos="1940" w:val="left" w:leader="none"/>
        </w:tabs>
        <w:spacing w:line="240" w:lineRule="auto" w:before="1" w:after="0"/>
        <w:ind w:left="1939" w:right="0" w:hanging="356"/>
        <w:jc w:val="left"/>
        <w:rPr>
          <w:sz w:val="24"/>
        </w:rPr>
      </w:pPr>
      <w:r>
        <w:rPr>
          <w:sz w:val="24"/>
        </w:rPr>
        <w:t>7033 Adv. Community Adults</w:t>
      </w:r>
      <w:r>
        <w:rPr>
          <w:spacing w:val="-19"/>
          <w:sz w:val="24"/>
        </w:rPr>
        <w:t> </w:t>
      </w:r>
      <w:r>
        <w:rPr>
          <w:sz w:val="24"/>
        </w:rPr>
        <w:t>(3)</w:t>
      </w:r>
    </w:p>
    <w:p>
      <w:pPr>
        <w:pStyle w:val="ListParagraph"/>
        <w:numPr>
          <w:ilvl w:val="0"/>
          <w:numId w:val="6"/>
        </w:numPr>
        <w:tabs>
          <w:tab w:pos="1939" w:val="left" w:leader="none"/>
          <w:tab w:pos="1940" w:val="left" w:leader="none"/>
        </w:tabs>
        <w:spacing w:line="304" w:lineRule="exact" w:before="2" w:after="0"/>
        <w:ind w:left="1939" w:right="0" w:hanging="356"/>
        <w:jc w:val="left"/>
        <w:rPr>
          <w:sz w:val="24"/>
        </w:rPr>
      </w:pPr>
      <w:r>
        <w:rPr>
          <w:sz w:val="24"/>
        </w:rPr>
        <w:t>7053 Field Placement III</w:t>
      </w:r>
      <w:r>
        <w:rPr>
          <w:spacing w:val="-13"/>
          <w:sz w:val="24"/>
        </w:rPr>
        <w:t> </w:t>
      </w:r>
      <w:r>
        <w:rPr>
          <w:sz w:val="24"/>
        </w:rPr>
        <w:t>(3)</w:t>
      </w:r>
    </w:p>
    <w:p>
      <w:pPr>
        <w:pStyle w:val="ListParagraph"/>
        <w:numPr>
          <w:ilvl w:val="0"/>
          <w:numId w:val="6"/>
        </w:numPr>
        <w:tabs>
          <w:tab w:pos="1939" w:val="left" w:leader="none"/>
          <w:tab w:pos="1940" w:val="left" w:leader="none"/>
        </w:tabs>
        <w:spacing w:line="304" w:lineRule="exact" w:before="0" w:after="0"/>
        <w:ind w:left="1939" w:right="0" w:hanging="356"/>
        <w:jc w:val="left"/>
        <w:rPr>
          <w:sz w:val="24"/>
        </w:rPr>
      </w:pPr>
      <w:r>
        <w:rPr>
          <w:sz w:val="24"/>
        </w:rPr>
        <w:t>7054 Field Placement IV</w:t>
      </w:r>
      <w:r>
        <w:rPr>
          <w:spacing w:val="-13"/>
          <w:sz w:val="24"/>
        </w:rPr>
        <w:t> </w:t>
      </w:r>
      <w:r>
        <w:rPr>
          <w:sz w:val="24"/>
        </w:rPr>
        <w:t>(3)</w:t>
      </w:r>
    </w:p>
    <w:p>
      <w:pPr>
        <w:pStyle w:val="ListParagraph"/>
        <w:numPr>
          <w:ilvl w:val="0"/>
          <w:numId w:val="6"/>
        </w:numPr>
        <w:tabs>
          <w:tab w:pos="1939" w:val="left" w:leader="none"/>
          <w:tab w:pos="1940" w:val="left" w:leader="none"/>
        </w:tabs>
        <w:spacing w:line="240" w:lineRule="auto" w:before="1" w:after="0"/>
        <w:ind w:left="1939" w:right="0" w:hanging="356"/>
        <w:jc w:val="left"/>
        <w:rPr>
          <w:sz w:val="24"/>
        </w:rPr>
      </w:pPr>
      <w:r>
        <w:rPr>
          <w:sz w:val="24"/>
        </w:rPr>
        <w:t>7055 Integrative Field Seminar I</w:t>
      </w:r>
      <w:r>
        <w:rPr>
          <w:spacing w:val="-12"/>
          <w:sz w:val="24"/>
        </w:rPr>
        <w:t> </w:t>
      </w:r>
      <w:r>
        <w:rPr>
          <w:sz w:val="24"/>
        </w:rPr>
        <w:t>(3)</w:t>
      </w:r>
    </w:p>
    <w:p>
      <w:pPr>
        <w:pStyle w:val="ListParagraph"/>
        <w:numPr>
          <w:ilvl w:val="0"/>
          <w:numId w:val="6"/>
        </w:numPr>
        <w:tabs>
          <w:tab w:pos="1939" w:val="left" w:leader="none"/>
          <w:tab w:pos="1940" w:val="left" w:leader="none"/>
        </w:tabs>
        <w:spacing w:line="304" w:lineRule="exact" w:before="2" w:after="0"/>
        <w:ind w:left="1939" w:right="0" w:hanging="356"/>
        <w:jc w:val="left"/>
        <w:rPr>
          <w:sz w:val="24"/>
        </w:rPr>
      </w:pPr>
      <w:r>
        <w:rPr>
          <w:sz w:val="24"/>
        </w:rPr>
        <w:t>7056 Integrative Field Seminar II</w:t>
      </w:r>
      <w:r>
        <w:rPr>
          <w:spacing w:val="-13"/>
          <w:sz w:val="24"/>
        </w:rPr>
        <w:t> </w:t>
      </w:r>
      <w:r>
        <w:rPr>
          <w:sz w:val="24"/>
        </w:rPr>
        <w:t>(3)</w:t>
      </w:r>
    </w:p>
    <w:p>
      <w:pPr>
        <w:pStyle w:val="ListParagraph"/>
        <w:numPr>
          <w:ilvl w:val="0"/>
          <w:numId w:val="6"/>
        </w:numPr>
        <w:tabs>
          <w:tab w:pos="1939" w:val="left" w:leader="none"/>
          <w:tab w:pos="1940" w:val="left" w:leader="none"/>
        </w:tabs>
        <w:spacing w:line="304" w:lineRule="exact" w:before="0" w:after="0"/>
        <w:ind w:left="1939" w:right="0" w:hanging="356"/>
        <w:jc w:val="left"/>
        <w:rPr>
          <w:sz w:val="24"/>
        </w:rPr>
      </w:pPr>
      <w:r>
        <w:rPr>
          <w:sz w:val="24"/>
        </w:rPr>
        <w:t>Two Electives (3 credits each for a total of 6</w:t>
      </w:r>
      <w:r>
        <w:rPr>
          <w:spacing w:val="-18"/>
          <w:sz w:val="24"/>
        </w:rPr>
        <w:t> </w:t>
      </w:r>
      <w:r>
        <w:rPr>
          <w:sz w:val="24"/>
        </w:rPr>
        <w:t>credits)</w:t>
      </w:r>
    </w:p>
    <w:p>
      <w:pPr>
        <w:pStyle w:val="BodyText"/>
        <w:rPr>
          <w:sz w:val="30"/>
        </w:rPr>
      </w:pPr>
    </w:p>
    <w:p>
      <w:pPr>
        <w:pStyle w:val="Heading2"/>
        <w:spacing w:before="219"/>
        <w:ind w:left="859"/>
        <w:jc w:val="both"/>
      </w:pPr>
      <w:r>
        <w:rPr>
          <w:color w:val="1F497C"/>
        </w:rPr>
        <w:t>ELECTIVES</w:t>
      </w:r>
    </w:p>
    <w:p>
      <w:pPr>
        <w:pStyle w:val="BodyText"/>
        <w:spacing w:before="240"/>
        <w:ind w:left="859" w:right="213"/>
        <w:jc w:val="both"/>
      </w:pPr>
      <w:r>
        <w:rPr/>
        <w:t>The MSW degree requires three elective courses. The electives may be taken in the school of social work or in other departments. The School of Social Work offers a varying number of electives each semester. Students must consult the MSW schedule for details on specific electives offered each semester. Electives are subject to space requirements and may be canceled if fewer than 10 students register.</w:t>
      </w:r>
      <w:r>
        <w:rPr>
          <w:spacing w:val="-4"/>
        </w:rPr>
        <w:t> </w:t>
      </w:r>
      <w:r>
        <w:rPr/>
        <w:t>The</w:t>
      </w:r>
      <w:r>
        <w:rPr>
          <w:spacing w:val="-3"/>
        </w:rPr>
        <w:t> </w:t>
      </w:r>
      <w:r>
        <w:rPr/>
        <w:t>School</w:t>
      </w:r>
      <w:r>
        <w:rPr>
          <w:spacing w:val="-3"/>
        </w:rPr>
        <w:t> </w:t>
      </w:r>
      <w:r>
        <w:rPr/>
        <w:t>of</w:t>
      </w:r>
      <w:r>
        <w:rPr>
          <w:spacing w:val="-1"/>
        </w:rPr>
        <w:t> </w:t>
      </w:r>
      <w:r>
        <w:rPr/>
        <w:t>Social</w:t>
      </w:r>
      <w:r>
        <w:rPr>
          <w:spacing w:val="-4"/>
        </w:rPr>
        <w:t> </w:t>
      </w:r>
      <w:r>
        <w:rPr/>
        <w:t>Work</w:t>
      </w:r>
      <w:r>
        <w:rPr>
          <w:spacing w:val="-3"/>
        </w:rPr>
        <w:t> </w:t>
      </w:r>
      <w:r>
        <w:rPr/>
        <w:t>has</w:t>
      </w:r>
      <w:r>
        <w:rPr>
          <w:spacing w:val="-3"/>
        </w:rPr>
        <w:t> </w:t>
      </w:r>
      <w:r>
        <w:rPr/>
        <w:t>no</w:t>
      </w:r>
      <w:r>
        <w:rPr>
          <w:spacing w:val="-3"/>
        </w:rPr>
        <w:t> </w:t>
      </w:r>
      <w:r>
        <w:rPr/>
        <w:t>control</w:t>
      </w:r>
      <w:r>
        <w:rPr>
          <w:spacing w:val="-3"/>
        </w:rPr>
        <w:t> </w:t>
      </w:r>
      <w:r>
        <w:rPr/>
        <w:t>over</w:t>
      </w:r>
      <w:r>
        <w:rPr>
          <w:spacing w:val="-4"/>
        </w:rPr>
        <w:t> </w:t>
      </w:r>
      <w:r>
        <w:rPr/>
        <w:t>electives</w:t>
      </w:r>
      <w:r>
        <w:rPr>
          <w:spacing w:val="-3"/>
        </w:rPr>
        <w:t> </w:t>
      </w:r>
      <w:r>
        <w:rPr/>
        <w:t>in</w:t>
      </w:r>
      <w:r>
        <w:rPr>
          <w:spacing w:val="-3"/>
        </w:rPr>
        <w:t> </w:t>
      </w:r>
      <w:r>
        <w:rPr/>
        <w:t>other</w:t>
      </w:r>
      <w:r>
        <w:rPr>
          <w:spacing w:val="-3"/>
        </w:rPr>
        <w:t> </w:t>
      </w:r>
      <w:r>
        <w:rPr/>
        <w:t>departments,</w:t>
      </w:r>
      <w:r>
        <w:rPr>
          <w:spacing w:val="-3"/>
        </w:rPr>
        <w:t> </w:t>
      </w:r>
      <w:r>
        <w:rPr/>
        <w:t>whether</w:t>
      </w:r>
      <w:r>
        <w:rPr>
          <w:spacing w:val="-4"/>
        </w:rPr>
        <w:t> </w:t>
      </w:r>
      <w:r>
        <w:rPr/>
        <w:t>or</w:t>
      </w:r>
      <w:r>
        <w:rPr>
          <w:spacing w:val="-3"/>
        </w:rPr>
        <w:t> </w:t>
      </w:r>
      <w:r>
        <w:rPr/>
        <w:t>not specific courses are offered, and whether MSW students receive permits for specific courses in other departments. Students should seek prior approval from their MSW academic advisor before enrolling in any elective courses offered outside the School of Social</w:t>
      </w:r>
      <w:r>
        <w:rPr>
          <w:spacing w:val="-2"/>
        </w:rPr>
        <w:t> </w:t>
      </w:r>
      <w:r>
        <w:rPr/>
        <w:t>Work.</w:t>
      </w:r>
    </w:p>
    <w:p>
      <w:pPr>
        <w:pStyle w:val="BodyText"/>
        <w:spacing w:before="7"/>
        <w:rPr>
          <w:sz w:val="39"/>
        </w:rPr>
      </w:pPr>
    </w:p>
    <w:p>
      <w:pPr>
        <w:pStyle w:val="Heading2"/>
        <w:ind w:left="859"/>
      </w:pPr>
      <w:r>
        <w:rPr>
          <w:color w:val="1F497C"/>
        </w:rPr>
        <w:t>GRADUATE CERTIFICATE PROGRAMS</w:t>
      </w:r>
    </w:p>
    <w:p>
      <w:pPr>
        <w:pStyle w:val="BodyText"/>
        <w:spacing w:before="235"/>
        <w:ind w:left="859" w:right="211"/>
        <w:jc w:val="both"/>
      </w:pPr>
      <w:r>
        <w:rPr/>
        <w:t>The</w:t>
      </w:r>
      <w:r>
        <w:rPr>
          <w:spacing w:val="-10"/>
        </w:rPr>
        <w:t> </w:t>
      </w:r>
      <w:r>
        <w:rPr/>
        <w:t>University</w:t>
      </w:r>
      <w:r>
        <w:rPr>
          <w:spacing w:val="-10"/>
        </w:rPr>
        <w:t> </w:t>
      </w:r>
      <w:r>
        <w:rPr/>
        <w:t>of</w:t>
      </w:r>
      <w:r>
        <w:rPr>
          <w:spacing w:val="-9"/>
        </w:rPr>
        <w:t> </w:t>
      </w:r>
      <w:r>
        <w:rPr/>
        <w:t>Memphis</w:t>
      </w:r>
      <w:r>
        <w:rPr>
          <w:spacing w:val="-10"/>
        </w:rPr>
        <w:t> </w:t>
      </w:r>
      <w:r>
        <w:rPr/>
        <w:t>offers</w:t>
      </w:r>
      <w:r>
        <w:rPr>
          <w:spacing w:val="-10"/>
        </w:rPr>
        <w:t> </w:t>
      </w:r>
      <w:r>
        <w:rPr/>
        <w:t>several</w:t>
      </w:r>
      <w:r>
        <w:rPr>
          <w:spacing w:val="-8"/>
        </w:rPr>
        <w:t> </w:t>
      </w:r>
      <w:r>
        <w:rPr/>
        <w:t>Graduate</w:t>
      </w:r>
      <w:r>
        <w:rPr>
          <w:spacing w:val="-10"/>
        </w:rPr>
        <w:t> </w:t>
      </w:r>
      <w:r>
        <w:rPr/>
        <w:t>Certificate</w:t>
      </w:r>
      <w:r>
        <w:rPr>
          <w:spacing w:val="-9"/>
        </w:rPr>
        <w:t> </w:t>
      </w:r>
      <w:r>
        <w:rPr/>
        <w:t>programs</w:t>
      </w:r>
      <w:r>
        <w:rPr>
          <w:spacing w:val="-10"/>
        </w:rPr>
        <w:t> </w:t>
      </w:r>
      <w:r>
        <w:rPr/>
        <w:t>in</w:t>
      </w:r>
      <w:r>
        <w:rPr>
          <w:spacing w:val="-10"/>
        </w:rPr>
        <w:t> </w:t>
      </w:r>
      <w:r>
        <w:rPr/>
        <w:t>fields</w:t>
      </w:r>
      <w:r>
        <w:rPr>
          <w:spacing w:val="-9"/>
        </w:rPr>
        <w:t> </w:t>
      </w:r>
      <w:r>
        <w:rPr/>
        <w:t>related</w:t>
      </w:r>
      <w:r>
        <w:rPr>
          <w:spacing w:val="-10"/>
        </w:rPr>
        <w:t> </w:t>
      </w:r>
      <w:r>
        <w:rPr/>
        <w:t>to</w:t>
      </w:r>
      <w:r>
        <w:rPr>
          <w:spacing w:val="-9"/>
        </w:rPr>
        <w:t> </w:t>
      </w:r>
      <w:r>
        <w:rPr/>
        <w:t>social</w:t>
      </w:r>
      <w:r>
        <w:rPr>
          <w:spacing w:val="-8"/>
        </w:rPr>
        <w:t> </w:t>
      </w:r>
      <w:r>
        <w:rPr/>
        <w:t>work. Students who are interested in receiving a Graduate Certificate are encouraged to discuss with their advisors and to use their electives to pursue the certificate. Some of the certificate programs</w:t>
      </w:r>
      <w:r>
        <w:rPr>
          <w:spacing w:val="-22"/>
        </w:rPr>
        <w:t> </w:t>
      </w:r>
      <w:r>
        <w:rPr/>
        <w:t>available include (but are not limited</w:t>
      </w:r>
      <w:r>
        <w:rPr>
          <w:spacing w:val="-1"/>
        </w:rPr>
        <w:t> </w:t>
      </w:r>
      <w:r>
        <w:rPr/>
        <w:t>to):</w:t>
      </w:r>
    </w:p>
    <w:p>
      <w:pPr>
        <w:pStyle w:val="BodyText"/>
        <w:spacing w:before="1"/>
        <w:rPr>
          <w:sz w:val="27"/>
        </w:rPr>
      </w:pPr>
    </w:p>
    <w:p>
      <w:pPr>
        <w:pStyle w:val="Heading2"/>
        <w:ind w:left="860"/>
      </w:pPr>
      <w:r>
        <w:rPr/>
        <w:t>Graduate Nonprofit Management and Leadership</w:t>
      </w:r>
    </w:p>
    <w:p>
      <w:pPr>
        <w:pStyle w:val="BodyText"/>
        <w:spacing w:before="12"/>
        <w:rPr>
          <w:b/>
          <w:sz w:val="23"/>
        </w:rPr>
      </w:pPr>
    </w:p>
    <w:p>
      <w:pPr>
        <w:pStyle w:val="BodyText"/>
        <w:ind w:left="860" w:right="211"/>
        <w:jc w:val="both"/>
      </w:pPr>
      <w:r>
        <w:rPr/>
        <w:t>The Graduate Nonprofit Management and Leadership Certificate are administered by the Division of Public</w:t>
      </w:r>
      <w:r>
        <w:rPr>
          <w:spacing w:val="-13"/>
        </w:rPr>
        <w:t> </w:t>
      </w:r>
      <w:r>
        <w:rPr/>
        <w:t>and</w:t>
      </w:r>
      <w:r>
        <w:rPr>
          <w:spacing w:val="-13"/>
        </w:rPr>
        <w:t> </w:t>
      </w:r>
      <w:r>
        <w:rPr/>
        <w:t>Nonprofit</w:t>
      </w:r>
      <w:r>
        <w:rPr>
          <w:spacing w:val="-13"/>
        </w:rPr>
        <w:t> </w:t>
      </w:r>
      <w:r>
        <w:rPr/>
        <w:t>Administration.</w:t>
      </w:r>
      <w:r>
        <w:rPr>
          <w:spacing w:val="-12"/>
        </w:rPr>
        <w:t> </w:t>
      </w:r>
      <w:r>
        <w:rPr/>
        <w:t>These</w:t>
      </w:r>
      <w:r>
        <w:rPr>
          <w:spacing w:val="-13"/>
        </w:rPr>
        <w:t> </w:t>
      </w:r>
      <w:r>
        <w:rPr/>
        <w:t>certificates</w:t>
      </w:r>
      <w:r>
        <w:rPr>
          <w:spacing w:val="-13"/>
        </w:rPr>
        <w:t> </w:t>
      </w:r>
      <w:r>
        <w:rPr/>
        <w:t>prepare</w:t>
      </w:r>
      <w:r>
        <w:rPr>
          <w:spacing w:val="-13"/>
        </w:rPr>
        <w:t> </w:t>
      </w:r>
      <w:r>
        <w:rPr/>
        <w:t>students</w:t>
      </w:r>
      <w:r>
        <w:rPr>
          <w:spacing w:val="-12"/>
        </w:rPr>
        <w:t> </w:t>
      </w:r>
      <w:r>
        <w:rPr/>
        <w:t>for</w:t>
      </w:r>
      <w:r>
        <w:rPr>
          <w:spacing w:val="-13"/>
        </w:rPr>
        <w:t> </w:t>
      </w:r>
      <w:r>
        <w:rPr/>
        <w:t>leadership</w:t>
      </w:r>
      <w:r>
        <w:rPr>
          <w:spacing w:val="-13"/>
        </w:rPr>
        <w:t> </w:t>
      </w:r>
      <w:r>
        <w:rPr/>
        <w:t>in</w:t>
      </w:r>
      <w:r>
        <w:rPr>
          <w:spacing w:val="-12"/>
        </w:rPr>
        <w:t> </w:t>
      </w:r>
      <w:r>
        <w:rPr/>
        <w:t>the</w:t>
      </w:r>
      <w:r>
        <w:rPr>
          <w:spacing w:val="-13"/>
        </w:rPr>
        <w:t> </w:t>
      </w:r>
      <w:r>
        <w:rPr/>
        <w:t>nonprofit sector. Through coursework and an internship, students gain information about nonprofit leadership and management, resource development, and program evaluation. MSW students, with approval of their advisor, may be able to use elective credits, field placement, and/or the required program evaluation course to complete program requirements for one of these certificates. MSW students interested in pursuing these certificates should speak with their advisor during the first year of the MSW program and contact the director of the Division of Public and Nonprofit Administration, 123 McCord Hall,</w:t>
      </w:r>
      <w:r>
        <w:rPr>
          <w:spacing w:val="-1"/>
        </w:rPr>
        <w:t> </w:t>
      </w:r>
      <w:r>
        <w:rPr/>
        <w:t>901-678-4395.</w:t>
      </w:r>
    </w:p>
    <w:p>
      <w:pPr>
        <w:spacing w:after="0"/>
        <w:jc w:val="both"/>
        <w:sectPr>
          <w:pgSz w:w="12240" w:h="15840"/>
          <w:pgMar w:header="0" w:footer="1108" w:top="1380" w:bottom="1300" w:left="300" w:right="920"/>
        </w:sectPr>
      </w:pPr>
    </w:p>
    <w:p>
      <w:pPr>
        <w:pStyle w:val="Heading2"/>
        <w:spacing w:before="73"/>
        <w:ind w:left="859"/>
      </w:pPr>
      <w:r>
        <w:rPr/>
        <w:t>Local Government Management</w:t>
      </w:r>
    </w:p>
    <w:p>
      <w:pPr>
        <w:pStyle w:val="BodyText"/>
        <w:spacing w:before="12"/>
        <w:rPr>
          <w:b/>
          <w:sz w:val="23"/>
        </w:rPr>
      </w:pPr>
    </w:p>
    <w:p>
      <w:pPr>
        <w:pStyle w:val="BodyText"/>
        <w:ind w:left="860" w:right="210"/>
        <w:jc w:val="both"/>
      </w:pPr>
      <w:r>
        <w:rPr/>
        <w:t>The Graduate Certificate in Local Government Management is administered by the Division of Public and Nonprofit Administration. This certificate program prepares students to face urban and regional challenges around local government operations; conflict management and negotiation; budgeting processes and financial management; ethics and accountability; personnel and risk management; politics and policy making; and civic engagement and volunteer involvement. The Certificate requires fifteen (15) credit hours. MSW students may use their nine (9) elective hours towards completion of the 15 required hours. MSW students interested in pursuing this certificate should speak with their advisor early in the MSW program and contact the director of the certificate, 122 McCord Hall, 901- 678-4720.</w:t>
      </w:r>
    </w:p>
    <w:p>
      <w:pPr>
        <w:pStyle w:val="BodyText"/>
        <w:spacing w:before="10"/>
        <w:rPr>
          <w:sz w:val="23"/>
        </w:rPr>
      </w:pPr>
    </w:p>
    <w:p>
      <w:pPr>
        <w:pStyle w:val="Heading2"/>
        <w:ind w:left="860"/>
      </w:pPr>
      <w:r>
        <w:rPr/>
        <w:t>Disability Studies</w:t>
      </w:r>
    </w:p>
    <w:p>
      <w:pPr>
        <w:pStyle w:val="BodyText"/>
        <w:rPr>
          <w:b/>
        </w:rPr>
      </w:pPr>
    </w:p>
    <w:p>
      <w:pPr>
        <w:pStyle w:val="BodyText"/>
        <w:ind w:left="860" w:right="211"/>
        <w:jc w:val="both"/>
      </w:pPr>
      <w:r>
        <w:rPr/>
        <w:t>The Interdisciplinary Graduate Certificate in Disability Studies is administered by the Department of Counseling,</w:t>
      </w:r>
      <w:r>
        <w:rPr>
          <w:spacing w:val="-6"/>
        </w:rPr>
        <w:t> </w:t>
      </w:r>
      <w:r>
        <w:rPr/>
        <w:t>Educational</w:t>
      </w:r>
      <w:r>
        <w:rPr>
          <w:spacing w:val="-6"/>
        </w:rPr>
        <w:t> </w:t>
      </w:r>
      <w:r>
        <w:rPr/>
        <w:t>Psychology,</w:t>
      </w:r>
      <w:r>
        <w:rPr>
          <w:spacing w:val="-6"/>
        </w:rPr>
        <w:t> </w:t>
      </w:r>
      <w:r>
        <w:rPr/>
        <w:t>and</w:t>
      </w:r>
      <w:r>
        <w:rPr>
          <w:spacing w:val="-6"/>
        </w:rPr>
        <w:t> </w:t>
      </w:r>
      <w:r>
        <w:rPr/>
        <w:t>Research</w:t>
      </w:r>
      <w:r>
        <w:rPr>
          <w:spacing w:val="-6"/>
        </w:rPr>
        <w:t> </w:t>
      </w:r>
      <w:r>
        <w:rPr/>
        <w:t>in</w:t>
      </w:r>
      <w:r>
        <w:rPr>
          <w:spacing w:val="-5"/>
        </w:rPr>
        <w:t> </w:t>
      </w:r>
      <w:r>
        <w:rPr/>
        <w:t>the</w:t>
      </w:r>
      <w:r>
        <w:rPr>
          <w:spacing w:val="-6"/>
        </w:rPr>
        <w:t> </w:t>
      </w:r>
      <w:r>
        <w:rPr/>
        <w:t>College</w:t>
      </w:r>
      <w:r>
        <w:rPr>
          <w:spacing w:val="-6"/>
        </w:rPr>
        <w:t> </w:t>
      </w:r>
      <w:r>
        <w:rPr/>
        <w:t>of</w:t>
      </w:r>
      <w:r>
        <w:rPr>
          <w:spacing w:val="-6"/>
        </w:rPr>
        <w:t> </w:t>
      </w:r>
      <w:r>
        <w:rPr/>
        <w:t>Education.</w:t>
      </w:r>
      <w:r>
        <w:rPr>
          <w:spacing w:val="-6"/>
        </w:rPr>
        <w:t> </w:t>
      </w:r>
      <w:r>
        <w:rPr/>
        <w:t>The</w:t>
      </w:r>
      <w:r>
        <w:rPr>
          <w:spacing w:val="-5"/>
        </w:rPr>
        <w:t> </w:t>
      </w:r>
      <w:r>
        <w:rPr/>
        <w:t>certificate</w:t>
      </w:r>
      <w:r>
        <w:rPr>
          <w:spacing w:val="-6"/>
        </w:rPr>
        <w:t> </w:t>
      </w:r>
      <w:r>
        <w:rPr/>
        <w:t>prepares students to work in fields of practice with people with disabilities. It requires twelve (12) credit hours including two courses in rehabilitation counseling and one in disability law. MSW students interested in pursuing this certificate should speak with their advisor early in the MSW program and contact the director of the certificate, 119 Patterson Hall,</w:t>
      </w:r>
      <w:r>
        <w:rPr>
          <w:spacing w:val="-1"/>
        </w:rPr>
        <w:t> </w:t>
      </w:r>
      <w:r>
        <w:rPr/>
        <w:t>901-678-4021.</w:t>
      </w:r>
    </w:p>
    <w:p>
      <w:pPr>
        <w:pStyle w:val="BodyText"/>
        <w:spacing w:before="11"/>
        <w:rPr>
          <w:sz w:val="23"/>
        </w:rPr>
      </w:pPr>
    </w:p>
    <w:p>
      <w:pPr>
        <w:pStyle w:val="Heading2"/>
        <w:ind w:left="860"/>
      </w:pPr>
      <w:r>
        <w:rPr/>
        <w:t>Women’s Studies</w:t>
      </w:r>
    </w:p>
    <w:p>
      <w:pPr>
        <w:pStyle w:val="BodyText"/>
        <w:rPr>
          <w:b/>
        </w:rPr>
      </w:pPr>
    </w:p>
    <w:p>
      <w:pPr>
        <w:pStyle w:val="BodyText"/>
        <w:ind w:left="859" w:right="212"/>
        <w:jc w:val="both"/>
      </w:pPr>
      <w:r>
        <w:rPr/>
        <w:t>The Graduate Certificate in Women’s Studies is administered by the College of Arts and Sciences. The purpose of the certificate is to develop interdisciplinary understandings of the social, political, and cultural roles of gender and to synthesize theoretical approaches to gender and race across the social sciences and humanities. The Certificate in Women’s Studies requires twelve (12) credit hours. Some of these hours may count as electives for MSW students. MSW students interested in pursuing this certificate should speak with their advisor early in the MSW program and contact the director of the certificate, 107 Scates Hall, 901-678-3550.</w:t>
      </w:r>
    </w:p>
    <w:p>
      <w:pPr>
        <w:pStyle w:val="BodyText"/>
        <w:spacing w:before="10"/>
        <w:rPr>
          <w:sz w:val="23"/>
        </w:rPr>
      </w:pPr>
    </w:p>
    <w:p>
      <w:pPr>
        <w:pStyle w:val="Heading2"/>
        <w:spacing w:before="1"/>
        <w:ind w:left="860"/>
      </w:pPr>
      <w:r>
        <w:rPr/>
        <w:t>School Social Work Licensure</w:t>
      </w:r>
    </w:p>
    <w:p>
      <w:pPr>
        <w:pStyle w:val="BodyText"/>
        <w:spacing w:before="10"/>
        <w:rPr>
          <w:b/>
          <w:sz w:val="29"/>
        </w:rPr>
      </w:pPr>
    </w:p>
    <w:p>
      <w:pPr>
        <w:pStyle w:val="BodyText"/>
        <w:ind w:left="860" w:right="212"/>
        <w:jc w:val="both"/>
      </w:pPr>
      <w:r>
        <w:rPr/>
        <w:t>The</w:t>
      </w:r>
      <w:r>
        <w:rPr>
          <w:spacing w:val="-13"/>
        </w:rPr>
        <w:t> </w:t>
      </w:r>
      <w:r>
        <w:rPr/>
        <w:t>School</w:t>
      </w:r>
      <w:r>
        <w:rPr>
          <w:spacing w:val="-13"/>
        </w:rPr>
        <w:t> </w:t>
      </w:r>
      <w:r>
        <w:rPr/>
        <w:t>Social</w:t>
      </w:r>
      <w:r>
        <w:rPr>
          <w:spacing w:val="-13"/>
        </w:rPr>
        <w:t> </w:t>
      </w:r>
      <w:r>
        <w:rPr/>
        <w:t>Work</w:t>
      </w:r>
      <w:r>
        <w:rPr>
          <w:spacing w:val="-12"/>
        </w:rPr>
        <w:t> </w:t>
      </w:r>
      <w:r>
        <w:rPr/>
        <w:t>Licensure</w:t>
      </w:r>
      <w:r>
        <w:rPr>
          <w:spacing w:val="-13"/>
        </w:rPr>
        <w:t> </w:t>
      </w:r>
      <w:r>
        <w:rPr/>
        <w:t>is</w:t>
      </w:r>
      <w:r>
        <w:rPr>
          <w:spacing w:val="-13"/>
        </w:rPr>
        <w:t> </w:t>
      </w:r>
      <w:r>
        <w:rPr/>
        <w:t>administered</w:t>
      </w:r>
      <w:r>
        <w:rPr>
          <w:spacing w:val="-13"/>
        </w:rPr>
        <w:t> </w:t>
      </w:r>
      <w:r>
        <w:rPr/>
        <w:t>by</w:t>
      </w:r>
      <w:r>
        <w:rPr>
          <w:spacing w:val="-12"/>
        </w:rPr>
        <w:t> </w:t>
      </w:r>
      <w:r>
        <w:rPr/>
        <w:t>the</w:t>
      </w:r>
      <w:r>
        <w:rPr>
          <w:spacing w:val="-13"/>
        </w:rPr>
        <w:t> </w:t>
      </w:r>
      <w:r>
        <w:rPr/>
        <w:t>School</w:t>
      </w:r>
      <w:r>
        <w:rPr>
          <w:spacing w:val="-13"/>
        </w:rPr>
        <w:t> </w:t>
      </w:r>
      <w:r>
        <w:rPr/>
        <w:t>of</w:t>
      </w:r>
      <w:r>
        <w:rPr>
          <w:spacing w:val="-12"/>
        </w:rPr>
        <w:t> </w:t>
      </w:r>
      <w:r>
        <w:rPr/>
        <w:t>Social</w:t>
      </w:r>
      <w:r>
        <w:rPr>
          <w:spacing w:val="-13"/>
        </w:rPr>
        <w:t> </w:t>
      </w:r>
      <w:r>
        <w:rPr/>
        <w:t>Work.</w:t>
      </w:r>
      <w:r>
        <w:rPr>
          <w:spacing w:val="-13"/>
        </w:rPr>
        <w:t> </w:t>
      </w:r>
      <w:r>
        <w:rPr/>
        <w:t>MSW</w:t>
      </w:r>
      <w:r>
        <w:rPr>
          <w:spacing w:val="-13"/>
        </w:rPr>
        <w:t> </w:t>
      </w:r>
      <w:r>
        <w:rPr/>
        <w:t>students</w:t>
      </w:r>
      <w:r>
        <w:rPr>
          <w:spacing w:val="-12"/>
        </w:rPr>
        <w:t> </w:t>
      </w:r>
      <w:r>
        <w:rPr/>
        <w:t>will</w:t>
      </w:r>
      <w:r>
        <w:rPr>
          <w:spacing w:val="-13"/>
        </w:rPr>
        <w:t> </w:t>
      </w:r>
      <w:r>
        <w:rPr/>
        <w:t>meet all</w:t>
      </w:r>
      <w:r>
        <w:rPr>
          <w:spacing w:val="-5"/>
        </w:rPr>
        <w:t> </w:t>
      </w:r>
      <w:r>
        <w:rPr/>
        <w:t>requirements</w:t>
      </w:r>
      <w:r>
        <w:rPr>
          <w:spacing w:val="-5"/>
        </w:rPr>
        <w:t> </w:t>
      </w:r>
      <w:r>
        <w:rPr/>
        <w:t>for</w:t>
      </w:r>
      <w:r>
        <w:rPr>
          <w:spacing w:val="-5"/>
        </w:rPr>
        <w:t> </w:t>
      </w:r>
      <w:r>
        <w:rPr/>
        <w:t>Tennessee</w:t>
      </w:r>
      <w:r>
        <w:rPr>
          <w:spacing w:val="-5"/>
        </w:rPr>
        <w:t> </w:t>
      </w:r>
      <w:r>
        <w:rPr/>
        <w:t>School</w:t>
      </w:r>
      <w:r>
        <w:rPr>
          <w:spacing w:val="-5"/>
        </w:rPr>
        <w:t> </w:t>
      </w:r>
      <w:r>
        <w:rPr/>
        <w:t>Social</w:t>
      </w:r>
      <w:r>
        <w:rPr>
          <w:spacing w:val="-4"/>
        </w:rPr>
        <w:t> </w:t>
      </w:r>
      <w:r>
        <w:rPr/>
        <w:t>Work</w:t>
      </w:r>
      <w:r>
        <w:rPr>
          <w:spacing w:val="-5"/>
        </w:rPr>
        <w:t> </w:t>
      </w:r>
      <w:r>
        <w:rPr/>
        <w:t>Licensure</w:t>
      </w:r>
      <w:r>
        <w:rPr>
          <w:spacing w:val="-5"/>
        </w:rPr>
        <w:t> </w:t>
      </w:r>
      <w:r>
        <w:rPr/>
        <w:t>through</w:t>
      </w:r>
      <w:r>
        <w:rPr>
          <w:spacing w:val="-5"/>
        </w:rPr>
        <w:t> </w:t>
      </w:r>
      <w:r>
        <w:rPr/>
        <w:t>the</w:t>
      </w:r>
      <w:r>
        <w:rPr>
          <w:spacing w:val="-5"/>
        </w:rPr>
        <w:t> </w:t>
      </w:r>
      <w:r>
        <w:rPr/>
        <w:t>completion</w:t>
      </w:r>
      <w:r>
        <w:rPr>
          <w:spacing w:val="-5"/>
        </w:rPr>
        <w:t> </w:t>
      </w:r>
      <w:r>
        <w:rPr/>
        <w:t>of</w:t>
      </w:r>
      <w:r>
        <w:rPr>
          <w:spacing w:val="-4"/>
        </w:rPr>
        <w:t> </w:t>
      </w:r>
      <w:r>
        <w:rPr/>
        <w:t>three</w:t>
      </w:r>
      <w:r>
        <w:rPr>
          <w:spacing w:val="-5"/>
        </w:rPr>
        <w:t> </w:t>
      </w:r>
      <w:r>
        <w:rPr/>
        <w:t>courses: SWRK 7007: School Social Work, SWRK 7016: Advanced Individual Practice Children/Youth, and SPED 7517: Functional Analysis/Treatment of Problem Behavior. MSW students may use elective hours towards their School Social Work Licensure. Additionally, students seeking School Social Work Licensure</w:t>
      </w:r>
      <w:r>
        <w:rPr>
          <w:spacing w:val="-15"/>
        </w:rPr>
        <w:t> </w:t>
      </w:r>
      <w:r>
        <w:rPr/>
        <w:t>will</w:t>
      </w:r>
      <w:r>
        <w:rPr>
          <w:spacing w:val="-14"/>
        </w:rPr>
        <w:t> </w:t>
      </w:r>
      <w:r>
        <w:rPr/>
        <w:t>be</w:t>
      </w:r>
      <w:r>
        <w:rPr>
          <w:spacing w:val="-15"/>
        </w:rPr>
        <w:t> </w:t>
      </w:r>
      <w:r>
        <w:rPr/>
        <w:t>required</w:t>
      </w:r>
      <w:r>
        <w:rPr>
          <w:spacing w:val="-14"/>
        </w:rPr>
        <w:t> </w:t>
      </w:r>
      <w:r>
        <w:rPr/>
        <w:t>to</w:t>
      </w:r>
      <w:r>
        <w:rPr>
          <w:spacing w:val="-15"/>
        </w:rPr>
        <w:t> </w:t>
      </w:r>
      <w:r>
        <w:rPr/>
        <w:t>complete</w:t>
      </w:r>
      <w:r>
        <w:rPr>
          <w:spacing w:val="-14"/>
        </w:rPr>
        <w:t> </w:t>
      </w:r>
      <w:r>
        <w:rPr/>
        <w:t>their</w:t>
      </w:r>
      <w:r>
        <w:rPr>
          <w:spacing w:val="-15"/>
        </w:rPr>
        <w:t> </w:t>
      </w:r>
      <w:r>
        <w:rPr/>
        <w:t>specialization</w:t>
      </w:r>
      <w:r>
        <w:rPr>
          <w:spacing w:val="-14"/>
        </w:rPr>
        <w:t> </w:t>
      </w:r>
      <w:r>
        <w:rPr/>
        <w:t>year</w:t>
      </w:r>
      <w:r>
        <w:rPr>
          <w:spacing w:val="-15"/>
        </w:rPr>
        <w:t> </w:t>
      </w:r>
      <w:r>
        <w:rPr/>
        <w:t>field</w:t>
      </w:r>
      <w:r>
        <w:rPr>
          <w:spacing w:val="-14"/>
        </w:rPr>
        <w:t> </w:t>
      </w:r>
      <w:r>
        <w:rPr/>
        <w:t>placement</w:t>
      </w:r>
      <w:r>
        <w:rPr>
          <w:spacing w:val="-14"/>
        </w:rPr>
        <w:t> </w:t>
      </w:r>
      <w:r>
        <w:rPr/>
        <w:t>in</w:t>
      </w:r>
      <w:r>
        <w:rPr>
          <w:spacing w:val="-15"/>
        </w:rPr>
        <w:t> </w:t>
      </w:r>
      <w:r>
        <w:rPr/>
        <w:t>a</w:t>
      </w:r>
      <w:r>
        <w:rPr>
          <w:spacing w:val="-14"/>
        </w:rPr>
        <w:t> </w:t>
      </w:r>
      <w:r>
        <w:rPr/>
        <w:t>school</w:t>
      </w:r>
      <w:r>
        <w:rPr>
          <w:spacing w:val="-15"/>
        </w:rPr>
        <w:t> </w:t>
      </w:r>
      <w:r>
        <w:rPr/>
        <w:t>setting.</w:t>
      </w:r>
      <w:r>
        <w:rPr>
          <w:spacing w:val="-14"/>
        </w:rPr>
        <w:t> </w:t>
      </w:r>
      <w:r>
        <w:rPr/>
        <w:t>MSW students</w:t>
      </w:r>
      <w:r>
        <w:rPr>
          <w:spacing w:val="-6"/>
        </w:rPr>
        <w:t> </w:t>
      </w:r>
      <w:r>
        <w:rPr/>
        <w:t>must</w:t>
      </w:r>
      <w:r>
        <w:rPr>
          <w:spacing w:val="-6"/>
        </w:rPr>
        <w:t> </w:t>
      </w:r>
      <w:r>
        <w:rPr/>
        <w:t>apply</w:t>
      </w:r>
      <w:r>
        <w:rPr>
          <w:spacing w:val="-6"/>
        </w:rPr>
        <w:t> </w:t>
      </w:r>
      <w:r>
        <w:rPr/>
        <w:t>and</w:t>
      </w:r>
      <w:r>
        <w:rPr>
          <w:spacing w:val="-5"/>
        </w:rPr>
        <w:t> </w:t>
      </w:r>
      <w:r>
        <w:rPr/>
        <w:t>be</w:t>
      </w:r>
      <w:r>
        <w:rPr>
          <w:spacing w:val="-6"/>
        </w:rPr>
        <w:t> </w:t>
      </w:r>
      <w:r>
        <w:rPr/>
        <w:t>accepted</w:t>
      </w:r>
      <w:r>
        <w:rPr>
          <w:spacing w:val="-6"/>
        </w:rPr>
        <w:t> </w:t>
      </w:r>
      <w:r>
        <w:rPr/>
        <w:t>into</w:t>
      </w:r>
      <w:r>
        <w:rPr>
          <w:spacing w:val="-5"/>
        </w:rPr>
        <w:t> </w:t>
      </w:r>
      <w:r>
        <w:rPr/>
        <w:t>the</w:t>
      </w:r>
      <w:r>
        <w:rPr>
          <w:spacing w:val="-6"/>
        </w:rPr>
        <w:t> </w:t>
      </w:r>
      <w:r>
        <w:rPr/>
        <w:t>Teacher</w:t>
      </w:r>
      <w:r>
        <w:rPr>
          <w:spacing w:val="-6"/>
        </w:rPr>
        <w:t> </w:t>
      </w:r>
      <w:r>
        <w:rPr/>
        <w:t>Education</w:t>
      </w:r>
      <w:r>
        <w:rPr>
          <w:spacing w:val="-6"/>
        </w:rPr>
        <w:t> </w:t>
      </w:r>
      <w:r>
        <w:rPr/>
        <w:t>Program.</w:t>
      </w:r>
      <w:r>
        <w:rPr>
          <w:spacing w:val="-5"/>
        </w:rPr>
        <w:t> </w:t>
      </w:r>
      <w:r>
        <w:rPr/>
        <w:t>The</w:t>
      </w:r>
      <w:r>
        <w:rPr>
          <w:spacing w:val="-6"/>
        </w:rPr>
        <w:t> </w:t>
      </w:r>
      <w:r>
        <w:rPr/>
        <w:t>following</w:t>
      </w:r>
      <w:r>
        <w:rPr>
          <w:spacing w:val="-6"/>
        </w:rPr>
        <w:t> </w:t>
      </w:r>
      <w:r>
        <w:rPr/>
        <w:t>scores</w:t>
      </w:r>
      <w:r>
        <w:rPr>
          <w:spacing w:val="-6"/>
        </w:rPr>
        <w:t> </w:t>
      </w:r>
      <w:r>
        <w:rPr/>
        <w:t>on</w:t>
      </w:r>
      <w:r>
        <w:rPr>
          <w:spacing w:val="-5"/>
        </w:rPr>
        <w:t> </w:t>
      </w:r>
      <w:r>
        <w:rPr/>
        <w:t>the Pre-Professional Skills Test (PPST) are required: Reading 174, Math 173, and Writing 173. The PPST is waived if students achieve the following GRE scores: 143 verbal (350 Old GRE), 138 quantitative (350 Old</w:t>
      </w:r>
      <w:r>
        <w:rPr>
          <w:spacing w:val="-10"/>
        </w:rPr>
        <w:t> </w:t>
      </w:r>
      <w:r>
        <w:rPr/>
        <w:t>GRE),</w:t>
      </w:r>
      <w:r>
        <w:rPr>
          <w:spacing w:val="-10"/>
        </w:rPr>
        <w:t> </w:t>
      </w:r>
      <w:r>
        <w:rPr/>
        <w:t>3.5</w:t>
      </w:r>
      <w:r>
        <w:rPr>
          <w:spacing w:val="-9"/>
        </w:rPr>
        <w:t> </w:t>
      </w:r>
      <w:r>
        <w:rPr/>
        <w:t>writing.</w:t>
      </w:r>
      <w:r>
        <w:rPr>
          <w:spacing w:val="-10"/>
        </w:rPr>
        <w:t> </w:t>
      </w:r>
      <w:r>
        <w:rPr/>
        <w:t>Students</w:t>
      </w:r>
      <w:r>
        <w:rPr>
          <w:spacing w:val="-10"/>
        </w:rPr>
        <w:t> </w:t>
      </w:r>
      <w:r>
        <w:rPr/>
        <w:t>interested</w:t>
      </w:r>
      <w:r>
        <w:rPr>
          <w:spacing w:val="-9"/>
        </w:rPr>
        <w:t> </w:t>
      </w:r>
      <w:r>
        <w:rPr/>
        <w:t>in</w:t>
      </w:r>
      <w:r>
        <w:rPr>
          <w:spacing w:val="-10"/>
        </w:rPr>
        <w:t> </w:t>
      </w:r>
      <w:r>
        <w:rPr/>
        <w:t>pursuing</w:t>
      </w:r>
      <w:r>
        <w:rPr>
          <w:spacing w:val="-10"/>
        </w:rPr>
        <w:t> </w:t>
      </w:r>
      <w:r>
        <w:rPr/>
        <w:t>the</w:t>
      </w:r>
      <w:r>
        <w:rPr>
          <w:spacing w:val="-9"/>
        </w:rPr>
        <w:t> </w:t>
      </w:r>
      <w:r>
        <w:rPr/>
        <w:t>School</w:t>
      </w:r>
      <w:r>
        <w:rPr>
          <w:spacing w:val="-10"/>
        </w:rPr>
        <w:t> </w:t>
      </w:r>
      <w:r>
        <w:rPr/>
        <w:t>Social</w:t>
      </w:r>
      <w:r>
        <w:rPr>
          <w:spacing w:val="-10"/>
        </w:rPr>
        <w:t> </w:t>
      </w:r>
      <w:r>
        <w:rPr/>
        <w:t>Work</w:t>
      </w:r>
      <w:r>
        <w:rPr>
          <w:spacing w:val="-9"/>
        </w:rPr>
        <w:t> </w:t>
      </w:r>
      <w:r>
        <w:rPr/>
        <w:t>License</w:t>
      </w:r>
      <w:r>
        <w:rPr>
          <w:spacing w:val="-10"/>
        </w:rPr>
        <w:t> </w:t>
      </w:r>
      <w:r>
        <w:rPr/>
        <w:t>should</w:t>
      </w:r>
      <w:r>
        <w:rPr>
          <w:spacing w:val="-9"/>
        </w:rPr>
        <w:t> </w:t>
      </w:r>
      <w:r>
        <w:rPr/>
        <w:t>speak</w:t>
      </w:r>
      <w:r>
        <w:rPr>
          <w:spacing w:val="-10"/>
        </w:rPr>
        <w:t> </w:t>
      </w:r>
      <w:r>
        <w:rPr/>
        <w:t>with their advisor early in their MSW program and contact Dr. Susan Elswick,</w:t>
      </w:r>
      <w:r>
        <w:rPr>
          <w:spacing w:val="-8"/>
        </w:rPr>
        <w:t> </w:t>
      </w:r>
      <w:hyperlink r:id="rId12">
        <w:r>
          <w:rPr>
            <w:color w:val="0000FF"/>
            <w:u w:val="single" w:color="0000FF"/>
          </w:rPr>
          <w:t>selswick@memphis.edu</w:t>
        </w:r>
        <w:r>
          <w:rPr/>
          <w:t>.</w:t>
        </w:r>
      </w:hyperlink>
    </w:p>
    <w:p>
      <w:pPr>
        <w:spacing w:after="0"/>
        <w:jc w:val="both"/>
        <w:sectPr>
          <w:pgSz w:w="12240" w:h="15840"/>
          <w:pgMar w:header="0" w:footer="1108" w:top="1380" w:bottom="1300" w:left="300" w:right="920"/>
        </w:sectPr>
      </w:pPr>
    </w:p>
    <w:p>
      <w:pPr>
        <w:pStyle w:val="BodyText"/>
        <w:rPr>
          <w:sz w:val="20"/>
        </w:rPr>
      </w:pPr>
    </w:p>
    <w:p>
      <w:pPr>
        <w:pStyle w:val="BodyText"/>
        <w:spacing w:before="11"/>
        <w:rPr>
          <w:sz w:val="15"/>
        </w:rPr>
      </w:pPr>
    </w:p>
    <w:p>
      <w:pPr>
        <w:pStyle w:val="Heading2"/>
        <w:spacing w:before="100"/>
        <w:ind w:left="860"/>
      </w:pPr>
      <w:r>
        <w:rPr>
          <w:color w:val="1F497C"/>
        </w:rPr>
        <w:t>DUAL DEGREE PROGRAMS</w:t>
      </w:r>
    </w:p>
    <w:p>
      <w:pPr>
        <w:pStyle w:val="BodyText"/>
        <w:rPr>
          <w:b/>
        </w:rPr>
      </w:pPr>
    </w:p>
    <w:p>
      <w:pPr>
        <w:pStyle w:val="BodyText"/>
        <w:ind w:left="860" w:right="211"/>
        <w:jc w:val="both"/>
      </w:pPr>
      <w:r>
        <w:rPr/>
        <w:t>Students who are interested in pursuing other dual degree options should consult with the MSW program director and their assigned advisor. It is recommended that students who are interested in pursuing</w:t>
      </w:r>
      <w:r>
        <w:rPr>
          <w:spacing w:val="-8"/>
        </w:rPr>
        <w:t> </w:t>
      </w:r>
      <w:r>
        <w:rPr/>
        <w:t>this</w:t>
      </w:r>
      <w:r>
        <w:rPr>
          <w:spacing w:val="-7"/>
        </w:rPr>
        <w:t> </w:t>
      </w:r>
      <w:r>
        <w:rPr/>
        <w:t>option</w:t>
      </w:r>
      <w:r>
        <w:rPr>
          <w:spacing w:val="-8"/>
        </w:rPr>
        <w:t> </w:t>
      </w:r>
      <w:r>
        <w:rPr/>
        <w:t>start</w:t>
      </w:r>
      <w:r>
        <w:rPr>
          <w:spacing w:val="-7"/>
        </w:rPr>
        <w:t> </w:t>
      </w:r>
      <w:r>
        <w:rPr/>
        <w:t>planning</w:t>
      </w:r>
      <w:r>
        <w:rPr>
          <w:spacing w:val="-8"/>
        </w:rPr>
        <w:t> </w:t>
      </w:r>
      <w:r>
        <w:rPr/>
        <w:t>at</w:t>
      </w:r>
      <w:r>
        <w:rPr>
          <w:spacing w:val="-7"/>
        </w:rPr>
        <w:t> </w:t>
      </w:r>
      <w:r>
        <w:rPr/>
        <w:t>the</w:t>
      </w:r>
      <w:r>
        <w:rPr>
          <w:spacing w:val="-8"/>
        </w:rPr>
        <w:t> </w:t>
      </w:r>
      <w:r>
        <w:rPr/>
        <w:t>point</w:t>
      </w:r>
      <w:r>
        <w:rPr>
          <w:spacing w:val="-7"/>
        </w:rPr>
        <w:t> </w:t>
      </w:r>
      <w:r>
        <w:rPr/>
        <w:t>of</w:t>
      </w:r>
      <w:r>
        <w:rPr>
          <w:spacing w:val="-8"/>
        </w:rPr>
        <w:t> </w:t>
      </w:r>
      <w:r>
        <w:rPr/>
        <w:t>admission</w:t>
      </w:r>
      <w:r>
        <w:rPr>
          <w:spacing w:val="-7"/>
        </w:rPr>
        <w:t> </w:t>
      </w:r>
      <w:r>
        <w:rPr/>
        <w:t>to</w:t>
      </w:r>
      <w:r>
        <w:rPr>
          <w:spacing w:val="-8"/>
        </w:rPr>
        <w:t> </w:t>
      </w:r>
      <w:r>
        <w:rPr/>
        <w:t>the</w:t>
      </w:r>
      <w:r>
        <w:rPr>
          <w:spacing w:val="-7"/>
        </w:rPr>
        <w:t> </w:t>
      </w:r>
      <w:r>
        <w:rPr/>
        <w:t>MSW</w:t>
      </w:r>
      <w:r>
        <w:rPr>
          <w:spacing w:val="-7"/>
        </w:rPr>
        <w:t> </w:t>
      </w:r>
      <w:r>
        <w:rPr/>
        <w:t>program</w:t>
      </w:r>
      <w:r>
        <w:rPr>
          <w:spacing w:val="-8"/>
        </w:rPr>
        <w:t> </w:t>
      </w:r>
      <w:r>
        <w:rPr/>
        <w:t>if</w:t>
      </w:r>
      <w:r>
        <w:rPr>
          <w:spacing w:val="-7"/>
        </w:rPr>
        <w:t> </w:t>
      </w:r>
      <w:r>
        <w:rPr/>
        <w:t>possible.</w:t>
      </w:r>
      <w:r>
        <w:rPr>
          <w:spacing w:val="-8"/>
        </w:rPr>
        <w:t> </w:t>
      </w:r>
      <w:r>
        <w:rPr/>
        <w:t>The</w:t>
      </w:r>
      <w:r>
        <w:rPr>
          <w:spacing w:val="-7"/>
        </w:rPr>
        <w:t> </w:t>
      </w:r>
      <w:r>
        <w:rPr/>
        <w:t>MSW program offers the following dual degree</w:t>
      </w:r>
      <w:r>
        <w:rPr>
          <w:spacing w:val="-2"/>
        </w:rPr>
        <w:t> </w:t>
      </w:r>
      <w:r>
        <w:rPr/>
        <w:t>options:</w:t>
      </w:r>
    </w:p>
    <w:p>
      <w:pPr>
        <w:pStyle w:val="BodyText"/>
        <w:spacing w:before="11"/>
        <w:rPr>
          <w:sz w:val="23"/>
        </w:rPr>
      </w:pPr>
    </w:p>
    <w:p>
      <w:pPr>
        <w:pStyle w:val="BodyText"/>
        <w:ind w:left="860" w:right="212"/>
        <w:jc w:val="both"/>
      </w:pPr>
      <w:r>
        <w:rPr/>
        <w:t>Social work has two dual degree programs that are currently recognized by the University of</w:t>
      </w:r>
      <w:r>
        <w:rPr>
          <w:spacing w:val="-22"/>
        </w:rPr>
        <w:t> </w:t>
      </w:r>
      <w:r>
        <w:rPr/>
        <w:t>Memphis Graduate School. These are the Master of Social Work/Master of Public Health (MSW/MPH) and the Master of Social Work/ Master of Science in Instructional Curriculum and Leadership with a specialization in special education and an emphasis in applied behavioral analysis. Requirements for these two dual degrees are as</w:t>
      </w:r>
      <w:r>
        <w:rPr>
          <w:spacing w:val="-15"/>
        </w:rPr>
        <w:t> </w:t>
      </w:r>
      <w:r>
        <w:rPr/>
        <w:t>follows:</w:t>
      </w:r>
    </w:p>
    <w:p>
      <w:pPr>
        <w:pStyle w:val="BodyText"/>
        <w:spacing w:before="11"/>
        <w:rPr>
          <w:sz w:val="23"/>
        </w:rPr>
      </w:pPr>
    </w:p>
    <w:p>
      <w:pPr>
        <w:pStyle w:val="Heading2"/>
        <w:spacing w:before="1"/>
        <w:ind w:left="860"/>
      </w:pPr>
      <w:r>
        <w:rPr/>
        <w:t>Dual MSW-MPH</w:t>
      </w:r>
    </w:p>
    <w:p>
      <w:pPr>
        <w:pStyle w:val="BodyText"/>
        <w:spacing w:before="11"/>
        <w:rPr>
          <w:b/>
          <w:sz w:val="23"/>
        </w:rPr>
      </w:pPr>
    </w:p>
    <w:p>
      <w:pPr>
        <w:pStyle w:val="BodyText"/>
        <w:ind w:left="859" w:right="679"/>
      </w:pPr>
      <w:r>
        <w:rPr/>
        <w:t>A program of study leading to both a Master of Social Work (MSW) and a Master of Public Health (MPH) is offered. Students must meet the following requirements.</w:t>
      </w:r>
    </w:p>
    <w:p>
      <w:pPr>
        <w:pStyle w:val="BodyText"/>
      </w:pPr>
    </w:p>
    <w:p>
      <w:pPr>
        <w:pStyle w:val="ListParagraph"/>
        <w:numPr>
          <w:ilvl w:val="0"/>
          <w:numId w:val="7"/>
        </w:numPr>
        <w:tabs>
          <w:tab w:pos="1581" w:val="left" w:leader="none"/>
        </w:tabs>
        <w:spacing w:line="240" w:lineRule="auto" w:before="0" w:after="0"/>
        <w:ind w:left="1580" w:right="0" w:hanging="360"/>
        <w:jc w:val="left"/>
        <w:rPr>
          <w:i/>
          <w:sz w:val="24"/>
        </w:rPr>
      </w:pPr>
      <w:r>
        <w:rPr>
          <w:i/>
          <w:sz w:val="24"/>
        </w:rPr>
        <w:t>Program</w:t>
      </w:r>
      <w:r>
        <w:rPr>
          <w:i/>
          <w:spacing w:val="-2"/>
          <w:sz w:val="24"/>
        </w:rPr>
        <w:t> </w:t>
      </w:r>
      <w:r>
        <w:rPr>
          <w:i/>
          <w:sz w:val="24"/>
        </w:rPr>
        <w:t>Admission</w:t>
      </w:r>
    </w:p>
    <w:p>
      <w:pPr>
        <w:pStyle w:val="BodyText"/>
        <w:ind w:left="1579" w:right="284"/>
        <w:jc w:val="both"/>
      </w:pPr>
      <w:r>
        <w:rPr/>
        <w:t>Admission to the dual program will require separate admission to each program. Students are admitted to each program separately and must meet ALL admissions criteria for each degree. Completion of one degree is not contingent upon completion of both.</w:t>
      </w:r>
    </w:p>
    <w:p>
      <w:pPr>
        <w:pStyle w:val="BodyText"/>
        <w:spacing w:before="11"/>
        <w:rPr>
          <w:sz w:val="23"/>
        </w:rPr>
      </w:pPr>
    </w:p>
    <w:p>
      <w:pPr>
        <w:pStyle w:val="ListParagraph"/>
        <w:numPr>
          <w:ilvl w:val="0"/>
          <w:numId w:val="7"/>
        </w:numPr>
        <w:tabs>
          <w:tab w:pos="1581" w:val="left" w:leader="none"/>
        </w:tabs>
        <w:spacing w:line="240" w:lineRule="auto" w:before="0" w:after="0"/>
        <w:ind w:left="1580" w:right="0" w:hanging="360"/>
        <w:jc w:val="left"/>
        <w:rPr>
          <w:i/>
          <w:sz w:val="24"/>
        </w:rPr>
      </w:pPr>
      <w:r>
        <w:rPr>
          <w:i/>
          <w:sz w:val="24"/>
        </w:rPr>
        <w:t>Program</w:t>
      </w:r>
      <w:r>
        <w:rPr>
          <w:i/>
          <w:spacing w:val="-5"/>
          <w:sz w:val="24"/>
        </w:rPr>
        <w:t> </w:t>
      </w:r>
      <w:r>
        <w:rPr>
          <w:i/>
          <w:sz w:val="24"/>
        </w:rPr>
        <w:t>Requirements</w:t>
      </w:r>
    </w:p>
    <w:p>
      <w:pPr>
        <w:pStyle w:val="BodyText"/>
        <w:ind w:left="1579" w:right="283"/>
        <w:jc w:val="both"/>
      </w:pPr>
      <w:r>
        <w:rPr/>
        <w:t>Students may earn up to a maximum of twelve hours of dual credit. The following courses will qualify for both the MSW and the MPH.</w:t>
      </w:r>
    </w:p>
    <w:p>
      <w:pPr>
        <w:pStyle w:val="ListParagraph"/>
        <w:numPr>
          <w:ilvl w:val="1"/>
          <w:numId w:val="7"/>
        </w:numPr>
        <w:tabs>
          <w:tab w:pos="2301" w:val="left" w:leader="none"/>
        </w:tabs>
        <w:spacing w:line="293" w:lineRule="exact" w:before="0" w:after="0"/>
        <w:ind w:left="2300" w:right="0" w:hanging="360"/>
        <w:jc w:val="left"/>
        <w:rPr>
          <w:sz w:val="24"/>
        </w:rPr>
      </w:pPr>
      <w:r>
        <w:rPr>
          <w:sz w:val="24"/>
        </w:rPr>
        <w:t>PUBH 7132 may be substituted for SWRK</w:t>
      </w:r>
      <w:r>
        <w:rPr>
          <w:spacing w:val="-26"/>
          <w:sz w:val="24"/>
        </w:rPr>
        <w:t> </w:t>
      </w:r>
      <w:r>
        <w:rPr>
          <w:sz w:val="24"/>
        </w:rPr>
        <w:t>7026.</w:t>
      </w:r>
    </w:p>
    <w:p>
      <w:pPr>
        <w:pStyle w:val="ListParagraph"/>
        <w:numPr>
          <w:ilvl w:val="1"/>
          <w:numId w:val="7"/>
        </w:numPr>
        <w:tabs>
          <w:tab w:pos="2301" w:val="left" w:leader="none"/>
        </w:tabs>
        <w:spacing w:line="240" w:lineRule="auto" w:before="0" w:after="0"/>
        <w:ind w:left="2300" w:right="0" w:hanging="360"/>
        <w:jc w:val="left"/>
        <w:rPr>
          <w:sz w:val="24"/>
        </w:rPr>
      </w:pPr>
      <w:r>
        <w:rPr>
          <w:sz w:val="24"/>
        </w:rPr>
        <w:t>PUBH 7985 may be substituted for either SWRK 7053 or SWRK</w:t>
      </w:r>
      <w:r>
        <w:rPr>
          <w:spacing w:val="-35"/>
          <w:sz w:val="24"/>
        </w:rPr>
        <w:t> </w:t>
      </w:r>
      <w:r>
        <w:rPr>
          <w:sz w:val="24"/>
        </w:rPr>
        <w:t>7054.</w:t>
      </w:r>
    </w:p>
    <w:p>
      <w:pPr>
        <w:pStyle w:val="ListParagraph"/>
        <w:numPr>
          <w:ilvl w:val="1"/>
          <w:numId w:val="7"/>
        </w:numPr>
        <w:tabs>
          <w:tab w:pos="2301" w:val="left" w:leader="none"/>
        </w:tabs>
        <w:spacing w:line="240" w:lineRule="auto" w:before="5" w:after="0"/>
        <w:ind w:left="2300" w:right="0" w:hanging="360"/>
        <w:jc w:val="left"/>
        <w:rPr>
          <w:sz w:val="24"/>
        </w:rPr>
      </w:pPr>
      <w:r>
        <w:rPr>
          <w:sz w:val="24"/>
        </w:rPr>
        <w:t>Electives in either of the two programs may be</w:t>
      </w:r>
      <w:r>
        <w:rPr>
          <w:spacing w:val="-20"/>
          <w:sz w:val="24"/>
        </w:rPr>
        <w:t> </w:t>
      </w:r>
      <w:r>
        <w:rPr>
          <w:sz w:val="24"/>
        </w:rPr>
        <w:t>shared.</w:t>
      </w:r>
    </w:p>
    <w:p>
      <w:pPr>
        <w:pStyle w:val="BodyText"/>
        <w:spacing w:before="8"/>
        <w:rPr>
          <w:sz w:val="26"/>
        </w:rPr>
      </w:pPr>
    </w:p>
    <w:p>
      <w:pPr>
        <w:pStyle w:val="Heading2"/>
        <w:spacing w:before="1"/>
        <w:ind w:left="860"/>
        <w:jc w:val="both"/>
      </w:pPr>
      <w:r>
        <w:rPr/>
        <w:t>Dual MSW-MS</w:t>
      </w:r>
    </w:p>
    <w:p>
      <w:pPr>
        <w:pStyle w:val="BodyText"/>
        <w:spacing w:before="11"/>
        <w:rPr>
          <w:b/>
          <w:sz w:val="23"/>
        </w:rPr>
      </w:pPr>
    </w:p>
    <w:p>
      <w:pPr>
        <w:pStyle w:val="BodyText"/>
        <w:ind w:left="859" w:right="208"/>
      </w:pPr>
      <w:r>
        <w:rPr/>
        <w:t>A program of study leading to both a Master of Social Work (MSW) and a Master of Science in Special Education/Applied Behavior Analysis (MS) is offered. Students must meet the following requirements.</w:t>
      </w:r>
    </w:p>
    <w:p>
      <w:pPr>
        <w:pStyle w:val="BodyText"/>
      </w:pPr>
    </w:p>
    <w:p>
      <w:pPr>
        <w:pStyle w:val="ListParagraph"/>
        <w:numPr>
          <w:ilvl w:val="0"/>
          <w:numId w:val="8"/>
        </w:numPr>
        <w:tabs>
          <w:tab w:pos="1581" w:val="left" w:leader="none"/>
        </w:tabs>
        <w:spacing w:line="240" w:lineRule="auto" w:before="0" w:after="0"/>
        <w:ind w:left="1580" w:right="0" w:hanging="360"/>
        <w:jc w:val="left"/>
        <w:rPr>
          <w:i/>
          <w:sz w:val="24"/>
        </w:rPr>
      </w:pPr>
      <w:r>
        <w:rPr>
          <w:i/>
          <w:sz w:val="24"/>
        </w:rPr>
        <w:t>Program</w:t>
      </w:r>
      <w:r>
        <w:rPr>
          <w:i/>
          <w:spacing w:val="-2"/>
          <w:sz w:val="24"/>
        </w:rPr>
        <w:t> </w:t>
      </w:r>
      <w:r>
        <w:rPr>
          <w:i/>
          <w:sz w:val="24"/>
        </w:rPr>
        <w:t>Admission</w:t>
      </w:r>
    </w:p>
    <w:p>
      <w:pPr>
        <w:pStyle w:val="BodyText"/>
        <w:ind w:left="1579" w:right="284"/>
        <w:jc w:val="both"/>
      </w:pPr>
      <w:r>
        <w:rPr/>
        <w:t>Admission to the dual program will require separate admission to each program. Students are admitted to each program separately and must meet ALL admissions criteria for each degree. Completion of one degree is not contingent upon completion of both.</w:t>
      </w:r>
    </w:p>
    <w:p>
      <w:pPr>
        <w:pStyle w:val="BodyText"/>
        <w:spacing w:before="11"/>
        <w:rPr>
          <w:sz w:val="23"/>
        </w:rPr>
      </w:pPr>
    </w:p>
    <w:p>
      <w:pPr>
        <w:pStyle w:val="ListParagraph"/>
        <w:numPr>
          <w:ilvl w:val="0"/>
          <w:numId w:val="8"/>
        </w:numPr>
        <w:tabs>
          <w:tab w:pos="1581" w:val="left" w:leader="none"/>
        </w:tabs>
        <w:spacing w:line="240" w:lineRule="auto" w:before="0" w:after="0"/>
        <w:ind w:left="1580" w:right="0" w:hanging="360"/>
        <w:jc w:val="left"/>
        <w:rPr>
          <w:i/>
          <w:sz w:val="24"/>
        </w:rPr>
      </w:pPr>
      <w:r>
        <w:rPr>
          <w:i/>
          <w:sz w:val="24"/>
        </w:rPr>
        <w:t>Program</w:t>
      </w:r>
      <w:r>
        <w:rPr>
          <w:i/>
          <w:spacing w:val="-5"/>
          <w:sz w:val="24"/>
        </w:rPr>
        <w:t> </w:t>
      </w:r>
      <w:r>
        <w:rPr>
          <w:i/>
          <w:sz w:val="24"/>
        </w:rPr>
        <w:t>Requirements</w:t>
      </w:r>
    </w:p>
    <w:p>
      <w:pPr>
        <w:pStyle w:val="BodyText"/>
        <w:ind w:left="1580"/>
        <w:jc w:val="both"/>
      </w:pPr>
      <w:r>
        <w:rPr/>
        <w:t>Students may earn up to a maximum of twelve hours of dual credit. The following courses will</w:t>
      </w:r>
    </w:p>
    <w:p>
      <w:pPr>
        <w:spacing w:after="0"/>
        <w:jc w:val="both"/>
        <w:sectPr>
          <w:pgSz w:w="12240" w:h="15840"/>
          <w:pgMar w:header="0" w:footer="1108" w:top="1500" w:bottom="1300" w:left="300" w:right="920"/>
        </w:sectPr>
      </w:pPr>
    </w:p>
    <w:p>
      <w:pPr>
        <w:pStyle w:val="BodyText"/>
        <w:spacing w:before="73"/>
        <w:ind w:left="1580"/>
      </w:pPr>
      <w:r>
        <w:rPr/>
        <w:t>qualify for both the MSW and the MS.</w:t>
      </w:r>
    </w:p>
    <w:p>
      <w:pPr>
        <w:pStyle w:val="ListParagraph"/>
        <w:numPr>
          <w:ilvl w:val="1"/>
          <w:numId w:val="8"/>
        </w:numPr>
        <w:tabs>
          <w:tab w:pos="2301" w:val="left" w:leader="none"/>
        </w:tabs>
        <w:spacing w:line="240" w:lineRule="auto" w:before="0" w:after="0"/>
        <w:ind w:left="2300" w:right="0" w:hanging="360"/>
        <w:jc w:val="left"/>
        <w:rPr>
          <w:sz w:val="24"/>
        </w:rPr>
      </w:pPr>
      <w:r>
        <w:rPr>
          <w:sz w:val="24"/>
        </w:rPr>
        <w:t>EDPR 7521 may be substituted for SWRK</w:t>
      </w:r>
      <w:r>
        <w:rPr>
          <w:spacing w:val="-27"/>
          <w:sz w:val="24"/>
        </w:rPr>
        <w:t> </w:t>
      </w:r>
      <w:r>
        <w:rPr>
          <w:sz w:val="24"/>
        </w:rPr>
        <w:t>7025.</w:t>
      </w:r>
    </w:p>
    <w:p>
      <w:pPr>
        <w:pStyle w:val="ListParagraph"/>
        <w:numPr>
          <w:ilvl w:val="1"/>
          <w:numId w:val="8"/>
        </w:numPr>
        <w:tabs>
          <w:tab w:pos="2301" w:val="left" w:leader="none"/>
        </w:tabs>
        <w:spacing w:line="240" w:lineRule="auto" w:before="0" w:after="0"/>
        <w:ind w:left="2300" w:right="0" w:hanging="360"/>
        <w:jc w:val="left"/>
        <w:rPr>
          <w:sz w:val="24"/>
        </w:rPr>
      </w:pPr>
      <w:r>
        <w:rPr>
          <w:sz w:val="24"/>
        </w:rPr>
        <w:t>SPED 7519 may be repeated and may be substituted for SWRK 7053 or SWRK</w:t>
      </w:r>
      <w:r>
        <w:rPr>
          <w:spacing w:val="-39"/>
          <w:sz w:val="24"/>
        </w:rPr>
        <w:t> </w:t>
      </w:r>
      <w:r>
        <w:rPr>
          <w:sz w:val="24"/>
        </w:rPr>
        <w:t>7054.</w:t>
      </w:r>
    </w:p>
    <w:p>
      <w:pPr>
        <w:pStyle w:val="ListParagraph"/>
        <w:numPr>
          <w:ilvl w:val="1"/>
          <w:numId w:val="8"/>
        </w:numPr>
        <w:tabs>
          <w:tab w:pos="2301" w:val="left" w:leader="none"/>
        </w:tabs>
        <w:spacing w:line="240" w:lineRule="auto" w:before="0" w:after="0"/>
        <w:ind w:left="2300" w:right="0" w:hanging="360"/>
        <w:jc w:val="left"/>
        <w:rPr>
          <w:sz w:val="24"/>
        </w:rPr>
      </w:pPr>
      <w:r>
        <w:rPr>
          <w:sz w:val="24"/>
        </w:rPr>
        <w:t>Electives in either of the two programs may be</w:t>
      </w:r>
      <w:r>
        <w:rPr>
          <w:spacing w:val="-20"/>
          <w:sz w:val="24"/>
        </w:rPr>
        <w:t> </w:t>
      </w:r>
      <w:r>
        <w:rPr>
          <w:sz w:val="24"/>
        </w:rPr>
        <w:t>shared.</w:t>
      </w:r>
    </w:p>
    <w:p>
      <w:pPr>
        <w:pStyle w:val="BodyText"/>
        <w:spacing w:before="11"/>
        <w:rPr>
          <w:sz w:val="23"/>
        </w:rPr>
      </w:pPr>
    </w:p>
    <w:p>
      <w:pPr>
        <w:pStyle w:val="Heading2"/>
        <w:ind w:left="859"/>
      </w:pPr>
      <w:r>
        <w:rPr/>
        <w:t>Other Dual Degree Options</w:t>
      </w:r>
    </w:p>
    <w:p>
      <w:pPr>
        <w:pStyle w:val="BodyText"/>
        <w:rPr>
          <w:b/>
        </w:rPr>
      </w:pPr>
    </w:p>
    <w:p>
      <w:pPr>
        <w:pStyle w:val="BodyText"/>
        <w:ind w:left="859" w:right="334"/>
      </w:pPr>
      <w:r>
        <w:rPr/>
        <w:t>Students interested in pursuing other dual degree options not listed above may, with the help of their MSW advisor and the advisor in the other involved department, develop a degree plan that will result in the two degrees with some shared credit. All dual degrees must be approved in writing by the MSW program director. A copy of the degree plan with the signature of the MSW program director must be kept in the student’s file in the MSW office.</w:t>
      </w:r>
    </w:p>
    <w:p>
      <w:pPr>
        <w:pStyle w:val="BodyText"/>
        <w:spacing w:before="11"/>
        <w:rPr>
          <w:sz w:val="23"/>
        </w:rPr>
      </w:pPr>
    </w:p>
    <w:p>
      <w:pPr>
        <w:pStyle w:val="BodyText"/>
        <w:ind w:left="859" w:right="291"/>
      </w:pPr>
      <w:r>
        <w:rPr/>
        <w:t>Students seeking dual degrees must be admitted to both graduate programs and follow a program of study that leads to the successful completion of the program requirements for both degrees. Up to fifteen credit hours may be shared between the two programs (provided that the student meets all degree requirements for both programs).</w:t>
      </w:r>
    </w:p>
    <w:p>
      <w:pPr>
        <w:spacing w:after="0"/>
        <w:sectPr>
          <w:pgSz w:w="12240" w:h="15840"/>
          <w:pgMar w:header="0" w:footer="1108" w:top="1380" w:bottom="1300" w:left="300" w:right="920"/>
        </w:sectPr>
      </w:pPr>
    </w:p>
    <w:p>
      <w:pPr>
        <w:pStyle w:val="Heading2"/>
        <w:spacing w:before="86"/>
        <w:jc w:val="both"/>
      </w:pPr>
      <w:r>
        <w:rPr>
          <w:color w:val="1F497C"/>
        </w:rPr>
        <w:t>INDEPENDENT STUDY/DIRECTED RESEARCH PROJECT</w:t>
      </w:r>
    </w:p>
    <w:p>
      <w:pPr>
        <w:pStyle w:val="BodyText"/>
        <w:spacing w:before="240"/>
        <w:ind w:left="865" w:right="214"/>
        <w:jc w:val="both"/>
      </w:pPr>
      <w:r>
        <w:rPr/>
        <w:t>An</w:t>
      </w:r>
      <w:r>
        <w:rPr>
          <w:spacing w:val="-11"/>
        </w:rPr>
        <w:t> </w:t>
      </w:r>
      <w:r>
        <w:rPr/>
        <w:t>independent</w:t>
      </w:r>
      <w:r>
        <w:rPr>
          <w:spacing w:val="-11"/>
        </w:rPr>
        <w:t> </w:t>
      </w:r>
      <w:r>
        <w:rPr/>
        <w:t>study/directed</w:t>
      </w:r>
      <w:r>
        <w:rPr>
          <w:spacing w:val="-11"/>
        </w:rPr>
        <w:t> </w:t>
      </w:r>
      <w:r>
        <w:rPr/>
        <w:t>research</w:t>
      </w:r>
      <w:r>
        <w:rPr>
          <w:spacing w:val="-11"/>
        </w:rPr>
        <w:t> </w:t>
      </w:r>
      <w:r>
        <w:rPr/>
        <w:t>project</w:t>
      </w:r>
      <w:r>
        <w:rPr>
          <w:spacing w:val="-11"/>
        </w:rPr>
        <w:t> </w:t>
      </w:r>
      <w:r>
        <w:rPr/>
        <w:t>is</w:t>
      </w:r>
      <w:r>
        <w:rPr>
          <w:spacing w:val="-11"/>
        </w:rPr>
        <w:t> </w:t>
      </w:r>
      <w:r>
        <w:rPr/>
        <w:t>not</w:t>
      </w:r>
      <w:r>
        <w:rPr>
          <w:spacing w:val="-10"/>
        </w:rPr>
        <w:t> </w:t>
      </w:r>
      <w:r>
        <w:rPr/>
        <w:t>required</w:t>
      </w:r>
      <w:r>
        <w:rPr>
          <w:spacing w:val="-11"/>
        </w:rPr>
        <w:t> </w:t>
      </w:r>
      <w:r>
        <w:rPr/>
        <w:t>for</w:t>
      </w:r>
      <w:r>
        <w:rPr>
          <w:spacing w:val="-11"/>
        </w:rPr>
        <w:t> </w:t>
      </w:r>
      <w:r>
        <w:rPr/>
        <w:t>the</w:t>
      </w:r>
      <w:r>
        <w:rPr>
          <w:spacing w:val="-11"/>
        </w:rPr>
        <w:t> </w:t>
      </w:r>
      <w:r>
        <w:rPr/>
        <w:t>Master</w:t>
      </w:r>
      <w:r>
        <w:rPr>
          <w:spacing w:val="-11"/>
        </w:rPr>
        <w:t> </w:t>
      </w:r>
      <w:r>
        <w:rPr/>
        <w:t>of</w:t>
      </w:r>
      <w:r>
        <w:rPr>
          <w:spacing w:val="-11"/>
        </w:rPr>
        <w:t> </w:t>
      </w:r>
      <w:r>
        <w:rPr/>
        <w:t>Social</w:t>
      </w:r>
      <w:r>
        <w:rPr>
          <w:spacing w:val="-10"/>
        </w:rPr>
        <w:t> </w:t>
      </w:r>
      <w:r>
        <w:rPr/>
        <w:t>Work</w:t>
      </w:r>
      <w:r>
        <w:rPr>
          <w:spacing w:val="-11"/>
        </w:rPr>
        <w:t> </w:t>
      </w:r>
      <w:r>
        <w:rPr/>
        <w:t>program. Students who would like to complete a research project or independent study should plan to do so during the specialization year and should follow all procedures in this</w:t>
      </w:r>
      <w:r>
        <w:rPr>
          <w:spacing w:val="-2"/>
        </w:rPr>
        <w:t> </w:t>
      </w:r>
      <w:r>
        <w:rPr/>
        <w:t>manual.</w:t>
      </w:r>
    </w:p>
    <w:p>
      <w:pPr>
        <w:pStyle w:val="BodyText"/>
        <w:spacing w:before="239"/>
        <w:ind w:left="863" w:right="212"/>
        <w:jc w:val="both"/>
      </w:pPr>
      <w:r>
        <w:rPr/>
        <w:t>An</w:t>
      </w:r>
      <w:r>
        <w:rPr>
          <w:spacing w:val="-9"/>
        </w:rPr>
        <w:t> </w:t>
      </w:r>
      <w:r>
        <w:rPr/>
        <w:t>independent</w:t>
      </w:r>
      <w:r>
        <w:rPr>
          <w:spacing w:val="-9"/>
        </w:rPr>
        <w:t> </w:t>
      </w:r>
      <w:r>
        <w:rPr/>
        <w:t>study</w:t>
      </w:r>
      <w:r>
        <w:rPr>
          <w:spacing w:val="-8"/>
        </w:rPr>
        <w:t> </w:t>
      </w:r>
      <w:r>
        <w:rPr/>
        <w:t>or</w:t>
      </w:r>
      <w:r>
        <w:rPr>
          <w:spacing w:val="-9"/>
        </w:rPr>
        <w:t> </w:t>
      </w:r>
      <w:r>
        <w:rPr/>
        <w:t>directed</w:t>
      </w:r>
      <w:r>
        <w:rPr>
          <w:spacing w:val="-8"/>
        </w:rPr>
        <w:t> </w:t>
      </w:r>
      <w:r>
        <w:rPr/>
        <w:t>research</w:t>
      </w:r>
      <w:r>
        <w:rPr>
          <w:spacing w:val="-9"/>
        </w:rPr>
        <w:t> </w:t>
      </w:r>
      <w:r>
        <w:rPr/>
        <w:t>project</w:t>
      </w:r>
      <w:r>
        <w:rPr>
          <w:spacing w:val="-8"/>
        </w:rPr>
        <w:t> </w:t>
      </w:r>
      <w:r>
        <w:rPr/>
        <w:t>is</w:t>
      </w:r>
      <w:r>
        <w:rPr>
          <w:spacing w:val="-9"/>
        </w:rPr>
        <w:t> </w:t>
      </w:r>
      <w:r>
        <w:rPr/>
        <w:t>a</w:t>
      </w:r>
      <w:r>
        <w:rPr>
          <w:spacing w:val="-8"/>
        </w:rPr>
        <w:t> </w:t>
      </w:r>
      <w:r>
        <w:rPr/>
        <w:t>three-credit</w:t>
      </w:r>
      <w:r>
        <w:rPr>
          <w:spacing w:val="-9"/>
        </w:rPr>
        <w:t> </w:t>
      </w:r>
      <w:r>
        <w:rPr/>
        <w:t>course</w:t>
      </w:r>
      <w:r>
        <w:rPr>
          <w:spacing w:val="-9"/>
        </w:rPr>
        <w:t> </w:t>
      </w:r>
      <w:r>
        <w:rPr/>
        <w:t>which</w:t>
      </w:r>
      <w:r>
        <w:rPr>
          <w:spacing w:val="-8"/>
        </w:rPr>
        <w:t> </w:t>
      </w:r>
      <w:r>
        <w:rPr/>
        <w:t>replaces</w:t>
      </w:r>
      <w:r>
        <w:rPr>
          <w:spacing w:val="-9"/>
        </w:rPr>
        <w:t> </w:t>
      </w:r>
      <w:r>
        <w:rPr/>
        <w:t>one</w:t>
      </w:r>
      <w:r>
        <w:rPr>
          <w:spacing w:val="-8"/>
        </w:rPr>
        <w:t> </w:t>
      </w:r>
      <w:r>
        <w:rPr/>
        <w:t>elective. Independent studies and research projects should be arranged prior to the semester in which the student wants to complete the project. Working with a faculty member, the student should write a brief proposal detailing the subject of the independent study/project and the final product(s) that will be produced. Once the proposal is approved, the student may be given clearance to register for the course.</w:t>
      </w:r>
    </w:p>
    <w:p>
      <w:pPr>
        <w:pStyle w:val="BodyText"/>
        <w:rPr>
          <w:sz w:val="28"/>
        </w:rPr>
      </w:pPr>
    </w:p>
    <w:p>
      <w:pPr>
        <w:pStyle w:val="BodyText"/>
        <w:spacing w:before="1"/>
        <w:rPr>
          <w:sz w:val="21"/>
        </w:rPr>
      </w:pPr>
    </w:p>
    <w:p>
      <w:pPr>
        <w:pStyle w:val="Heading2"/>
        <w:jc w:val="both"/>
      </w:pPr>
      <w:r>
        <w:rPr>
          <w:color w:val="1F497C"/>
        </w:rPr>
        <w:t>THESIS</w:t>
      </w:r>
    </w:p>
    <w:p>
      <w:pPr>
        <w:pStyle w:val="BodyText"/>
        <w:spacing w:before="240"/>
        <w:ind w:left="865" w:right="213"/>
        <w:jc w:val="both"/>
      </w:pPr>
      <w:r>
        <w:rPr/>
        <w:t>A thesis is not required for completion of the Master of Social Work Program. Students electing to complete a thesis must have a GPA of 3.3 or higher at the completion of 30 credit hours. A Master’s thesis is completed during the specialization year.</w:t>
      </w:r>
    </w:p>
    <w:p>
      <w:pPr>
        <w:pStyle w:val="BodyText"/>
        <w:spacing w:before="239"/>
        <w:ind w:left="865" w:right="213"/>
        <w:jc w:val="both"/>
      </w:pPr>
      <w:r>
        <w:rPr/>
        <w:t>A thesis is a two-semester commitment. Although completed during the specialization year, it is strongly recommended that students planning a thesis discuss their intent with the advisor during the first year. Students seeking to complete a thesis will register for six hours of SWRK 7996 replacing two electives. Prior to registering for the first thesis course, the student must form a committee of three faculty members. The chair of the thesis committee must be a full-time faculty member in the School of Social Work and a full member of the graduate faculty. Affiliate or adjunct faculty may serve as members</w:t>
      </w:r>
      <w:r>
        <w:rPr>
          <w:spacing w:val="-9"/>
        </w:rPr>
        <w:t> </w:t>
      </w:r>
      <w:r>
        <w:rPr/>
        <w:t>of</w:t>
      </w:r>
      <w:r>
        <w:rPr>
          <w:spacing w:val="-8"/>
        </w:rPr>
        <w:t> </w:t>
      </w:r>
      <w:r>
        <w:rPr/>
        <w:t>the</w:t>
      </w:r>
      <w:r>
        <w:rPr>
          <w:spacing w:val="-9"/>
        </w:rPr>
        <w:t> </w:t>
      </w:r>
      <w:r>
        <w:rPr/>
        <w:t>thesis</w:t>
      </w:r>
      <w:r>
        <w:rPr>
          <w:spacing w:val="-8"/>
        </w:rPr>
        <w:t> </w:t>
      </w:r>
      <w:r>
        <w:rPr/>
        <w:t>committee,</w:t>
      </w:r>
      <w:r>
        <w:rPr>
          <w:spacing w:val="-9"/>
        </w:rPr>
        <w:t> </w:t>
      </w:r>
      <w:r>
        <w:rPr/>
        <w:t>but</w:t>
      </w:r>
      <w:r>
        <w:rPr>
          <w:spacing w:val="-8"/>
        </w:rPr>
        <w:t> </w:t>
      </w:r>
      <w:r>
        <w:rPr/>
        <w:t>no</w:t>
      </w:r>
      <w:r>
        <w:rPr>
          <w:spacing w:val="-8"/>
        </w:rPr>
        <w:t> </w:t>
      </w:r>
      <w:r>
        <w:rPr/>
        <w:t>more</w:t>
      </w:r>
      <w:r>
        <w:rPr>
          <w:spacing w:val="-9"/>
        </w:rPr>
        <w:t> </w:t>
      </w:r>
      <w:r>
        <w:rPr/>
        <w:t>than</w:t>
      </w:r>
      <w:r>
        <w:rPr>
          <w:spacing w:val="-8"/>
        </w:rPr>
        <w:t> </w:t>
      </w:r>
      <w:r>
        <w:rPr/>
        <w:t>one</w:t>
      </w:r>
      <w:r>
        <w:rPr>
          <w:spacing w:val="-9"/>
        </w:rPr>
        <w:t> </w:t>
      </w:r>
      <w:r>
        <w:rPr/>
        <w:t>affiliate</w:t>
      </w:r>
      <w:r>
        <w:rPr>
          <w:spacing w:val="-8"/>
        </w:rPr>
        <w:t> </w:t>
      </w:r>
      <w:r>
        <w:rPr/>
        <w:t>or</w:t>
      </w:r>
      <w:r>
        <w:rPr>
          <w:spacing w:val="-9"/>
        </w:rPr>
        <w:t> </w:t>
      </w:r>
      <w:r>
        <w:rPr/>
        <w:t>adjunct</w:t>
      </w:r>
      <w:r>
        <w:rPr>
          <w:spacing w:val="-8"/>
        </w:rPr>
        <w:t> </w:t>
      </w:r>
      <w:r>
        <w:rPr/>
        <w:t>faculty</w:t>
      </w:r>
      <w:r>
        <w:rPr>
          <w:spacing w:val="-8"/>
        </w:rPr>
        <w:t> </w:t>
      </w:r>
      <w:r>
        <w:rPr/>
        <w:t>member</w:t>
      </w:r>
      <w:r>
        <w:rPr>
          <w:spacing w:val="-9"/>
        </w:rPr>
        <w:t> </w:t>
      </w:r>
      <w:r>
        <w:rPr/>
        <w:t>may</w:t>
      </w:r>
      <w:r>
        <w:rPr>
          <w:spacing w:val="-8"/>
        </w:rPr>
        <w:t> </w:t>
      </w:r>
      <w:r>
        <w:rPr/>
        <w:t>serve on the thesis committee. Two of the three committee members must be social work faculty. A list of graduate faculty members may be obtained from the University of Memphis Graduate School’s website:</w:t>
      </w:r>
      <w:r>
        <w:rPr>
          <w:spacing w:val="-2"/>
        </w:rPr>
        <w:t> </w:t>
      </w:r>
      <w:r>
        <w:rPr/>
        <w:t>(</w:t>
      </w:r>
      <w:hyperlink r:id="rId14">
        <w:r>
          <w:rPr>
            <w:color w:val="0000FF"/>
            <w:u w:val="single" w:color="0000FF"/>
          </w:rPr>
          <w:t>http://www.memphis.edu/gradschool/faculty_staff/graduate_faculty/gradfaculty.php</w:t>
        </w:r>
        <w:r>
          <w:rPr/>
          <w:t>).</w:t>
        </w:r>
      </w:hyperlink>
    </w:p>
    <w:p>
      <w:pPr>
        <w:pStyle w:val="BodyText"/>
        <w:spacing w:before="239"/>
        <w:ind w:left="863" w:right="213"/>
        <w:jc w:val="both"/>
      </w:pPr>
      <w:r>
        <w:rPr/>
        <w:t>A thesis proposal should be completed prior to registering for the first thesis credit. Most social work thesis proposals will require review by the University’s Institutional Review Board (IRB). The student should work closely with the chair of his/her committee to clarify whether IRB review is needed. It is strongly recommended that the student begin the IRB review process prior to enrolling in the first course. Information about IRB review can be found on the University of Memphis Human Subjects Research website: (</w:t>
      </w:r>
      <w:hyperlink r:id="rId15">
        <w:r>
          <w:rPr>
            <w:color w:val="0000FF"/>
            <w:u w:val="single" w:color="0000FF"/>
          </w:rPr>
          <w:t>http://irb.memphis.edu/</w:t>
        </w:r>
        <w:r>
          <w:rPr/>
          <w:t>).</w:t>
        </w:r>
      </w:hyperlink>
    </w:p>
    <w:p>
      <w:pPr>
        <w:pStyle w:val="BodyText"/>
        <w:spacing w:line="247" w:lineRule="auto" w:before="239"/>
        <w:ind w:left="865" w:right="58"/>
      </w:pPr>
      <w:r>
        <w:rPr/>
        <w:t>Students completing a thesis must follow all Graduate School policies. It is the student’s responsibility to carefully check deadlines for graduation, follow guidelines for formatting, and ensure that all required forms are submitted to the Graduate School on time. Information about Graduate School policies may be found on the University of Memphis Graduate School website: (</w:t>
      </w:r>
      <w:hyperlink r:id="rId16">
        <w:r>
          <w:rPr>
            <w:color w:val="0000FF"/>
            <w:u w:val="single" w:color="0000FF"/>
          </w:rPr>
          <w:t>http://www.memphis.edu/gradschool/resources/forms_index.php</w:t>
        </w:r>
        <w:r>
          <w:rPr/>
          <w:t>).</w:t>
        </w:r>
      </w:hyperlink>
    </w:p>
    <w:p>
      <w:pPr>
        <w:spacing w:after="0" w:line="247" w:lineRule="auto"/>
        <w:sectPr>
          <w:footerReference w:type="default" r:id="rId13"/>
          <w:pgSz w:w="12240" w:h="15840"/>
          <w:pgMar w:footer="992" w:header="0" w:top="1420" w:bottom="1180" w:left="300" w:right="920"/>
          <w:pgNumType w:start="18"/>
        </w:sectPr>
      </w:pPr>
    </w:p>
    <w:p>
      <w:pPr>
        <w:pStyle w:val="BodyText"/>
        <w:spacing w:before="7"/>
        <w:rPr>
          <w:sz w:val="9"/>
        </w:rPr>
      </w:pPr>
    </w:p>
    <w:p>
      <w:pPr>
        <w:pStyle w:val="Heading2"/>
        <w:spacing w:before="100"/>
        <w:jc w:val="both"/>
      </w:pPr>
      <w:bookmarkStart w:name="_TOC_250001" w:id="3"/>
      <w:bookmarkEnd w:id="3"/>
      <w:r>
        <w:rPr>
          <w:color w:val="1F497C"/>
        </w:rPr>
        <w:t>FIELD</w:t>
      </w:r>
    </w:p>
    <w:p>
      <w:pPr>
        <w:pStyle w:val="BodyText"/>
        <w:spacing w:before="11"/>
        <w:rPr>
          <w:b/>
          <w:sz w:val="29"/>
        </w:rPr>
      </w:pPr>
    </w:p>
    <w:p>
      <w:pPr>
        <w:spacing w:before="0"/>
        <w:ind w:left="865" w:right="0" w:firstLine="0"/>
        <w:jc w:val="both"/>
        <w:rPr>
          <w:b/>
          <w:sz w:val="24"/>
        </w:rPr>
      </w:pPr>
      <w:r>
        <w:rPr>
          <w:b/>
          <w:color w:val="1F497C"/>
          <w:sz w:val="24"/>
        </w:rPr>
        <w:t>FIELD PRACTICE</w:t>
      </w:r>
    </w:p>
    <w:p>
      <w:pPr>
        <w:pStyle w:val="BodyText"/>
        <w:spacing w:before="240"/>
        <w:ind w:left="865" w:right="211"/>
        <w:jc w:val="both"/>
      </w:pPr>
      <w:r>
        <w:rPr/>
        <w:t>Field placement is an important component of the Master of Social Work program and is designed to integrate academic learning with “real world” social work experience. An internship placement provides opportunities for the student to apply concepts and skills learned in the classroom in a real- world work setting and to build a work history of relevant experience that will assist the student in beginning her/his social work career.</w:t>
      </w:r>
    </w:p>
    <w:p>
      <w:pPr>
        <w:pStyle w:val="BodyText"/>
        <w:spacing w:before="239"/>
        <w:ind w:left="863" w:right="211"/>
        <w:jc w:val="both"/>
      </w:pPr>
      <w:r>
        <w:rPr/>
        <w:t>The purpose of the internship is to provide students with the opportunity to test, through practical experience,</w:t>
      </w:r>
      <w:r>
        <w:rPr>
          <w:spacing w:val="-15"/>
        </w:rPr>
        <w:t> </w:t>
      </w:r>
      <w:r>
        <w:rPr/>
        <w:t>the</w:t>
      </w:r>
      <w:r>
        <w:rPr>
          <w:spacing w:val="-15"/>
        </w:rPr>
        <w:t> </w:t>
      </w:r>
      <w:r>
        <w:rPr/>
        <w:t>knowledge</w:t>
      </w:r>
      <w:r>
        <w:rPr>
          <w:spacing w:val="-14"/>
        </w:rPr>
        <w:t> </w:t>
      </w:r>
      <w:r>
        <w:rPr/>
        <w:t>and</w:t>
      </w:r>
      <w:r>
        <w:rPr>
          <w:spacing w:val="-15"/>
        </w:rPr>
        <w:t> </w:t>
      </w:r>
      <w:r>
        <w:rPr/>
        <w:t>skills</w:t>
      </w:r>
      <w:r>
        <w:rPr>
          <w:spacing w:val="-14"/>
        </w:rPr>
        <w:t> </w:t>
      </w:r>
      <w:r>
        <w:rPr/>
        <w:t>acquired</w:t>
      </w:r>
      <w:r>
        <w:rPr>
          <w:spacing w:val="-15"/>
        </w:rPr>
        <w:t> </w:t>
      </w:r>
      <w:r>
        <w:rPr/>
        <w:t>in</w:t>
      </w:r>
      <w:r>
        <w:rPr>
          <w:spacing w:val="-15"/>
        </w:rPr>
        <w:t> </w:t>
      </w:r>
      <w:r>
        <w:rPr/>
        <w:t>academic</w:t>
      </w:r>
      <w:r>
        <w:rPr>
          <w:spacing w:val="-14"/>
        </w:rPr>
        <w:t> </w:t>
      </w:r>
      <w:r>
        <w:rPr/>
        <w:t>courses.</w:t>
      </w:r>
      <w:r>
        <w:rPr>
          <w:spacing w:val="-15"/>
        </w:rPr>
        <w:t> </w:t>
      </w:r>
      <w:r>
        <w:rPr/>
        <w:t>The</w:t>
      </w:r>
      <w:r>
        <w:rPr>
          <w:spacing w:val="-14"/>
        </w:rPr>
        <w:t> </w:t>
      </w:r>
      <w:r>
        <w:rPr/>
        <w:t>experience</w:t>
      </w:r>
      <w:r>
        <w:rPr>
          <w:spacing w:val="-15"/>
        </w:rPr>
        <w:t> </w:t>
      </w:r>
      <w:r>
        <w:rPr/>
        <w:t>also</w:t>
      </w:r>
      <w:r>
        <w:rPr>
          <w:spacing w:val="-15"/>
        </w:rPr>
        <w:t> </w:t>
      </w:r>
      <w:r>
        <w:rPr/>
        <w:t>allows</w:t>
      </w:r>
      <w:r>
        <w:rPr>
          <w:spacing w:val="-14"/>
        </w:rPr>
        <w:t> </w:t>
      </w:r>
      <w:r>
        <w:rPr/>
        <w:t>students to identify areas in which they need additional educational experience. Students learn role behavior and techniques necessary to function effectively as social workers at both the foundation (generalist) level</w:t>
      </w:r>
      <w:r>
        <w:rPr>
          <w:spacing w:val="-12"/>
        </w:rPr>
        <w:t> </w:t>
      </w:r>
      <w:r>
        <w:rPr/>
        <w:t>and</w:t>
      </w:r>
      <w:r>
        <w:rPr>
          <w:spacing w:val="-11"/>
        </w:rPr>
        <w:t> </w:t>
      </w:r>
      <w:r>
        <w:rPr/>
        <w:t>the</w:t>
      </w:r>
      <w:r>
        <w:rPr>
          <w:spacing w:val="-11"/>
        </w:rPr>
        <w:t> </w:t>
      </w:r>
      <w:r>
        <w:rPr/>
        <w:t>advanced</w:t>
      </w:r>
      <w:r>
        <w:rPr>
          <w:spacing w:val="-11"/>
        </w:rPr>
        <w:t> </w:t>
      </w:r>
      <w:r>
        <w:rPr/>
        <w:t>(specialization)</w:t>
      </w:r>
      <w:r>
        <w:rPr>
          <w:spacing w:val="-11"/>
        </w:rPr>
        <w:t> </w:t>
      </w:r>
      <w:r>
        <w:rPr/>
        <w:t>level.</w:t>
      </w:r>
      <w:r>
        <w:rPr>
          <w:spacing w:val="-11"/>
        </w:rPr>
        <w:t> </w:t>
      </w:r>
      <w:r>
        <w:rPr/>
        <w:t>The</w:t>
      </w:r>
      <w:r>
        <w:rPr>
          <w:spacing w:val="-11"/>
        </w:rPr>
        <w:t> </w:t>
      </w:r>
      <w:r>
        <w:rPr/>
        <w:t>experience</w:t>
      </w:r>
      <w:r>
        <w:rPr>
          <w:spacing w:val="-11"/>
        </w:rPr>
        <w:t> </w:t>
      </w:r>
      <w:r>
        <w:rPr/>
        <w:t>provides</w:t>
      </w:r>
      <w:r>
        <w:rPr>
          <w:spacing w:val="-11"/>
        </w:rPr>
        <w:t> </w:t>
      </w:r>
      <w:r>
        <w:rPr/>
        <w:t>further</w:t>
      </w:r>
      <w:r>
        <w:rPr>
          <w:spacing w:val="-11"/>
        </w:rPr>
        <w:t> </w:t>
      </w:r>
      <w:r>
        <w:rPr/>
        <w:t>value</w:t>
      </w:r>
      <w:r>
        <w:rPr>
          <w:spacing w:val="-11"/>
        </w:rPr>
        <w:t> </w:t>
      </w:r>
      <w:r>
        <w:rPr/>
        <w:t>by</w:t>
      </w:r>
      <w:r>
        <w:rPr>
          <w:spacing w:val="-11"/>
        </w:rPr>
        <w:t> </w:t>
      </w:r>
      <w:r>
        <w:rPr/>
        <w:t>helping</w:t>
      </w:r>
      <w:r>
        <w:rPr>
          <w:spacing w:val="-11"/>
        </w:rPr>
        <w:t> </w:t>
      </w:r>
      <w:r>
        <w:rPr/>
        <w:t>students to decide what kind of position they wish to pursue after graduation. Internships primarily are to provide a learning experience for the student. Secondarily, internships provide a valuable community service</w:t>
      </w:r>
      <w:r>
        <w:rPr>
          <w:spacing w:val="-9"/>
        </w:rPr>
        <w:t> </w:t>
      </w:r>
      <w:r>
        <w:rPr/>
        <w:t>by</w:t>
      </w:r>
      <w:r>
        <w:rPr>
          <w:spacing w:val="-9"/>
        </w:rPr>
        <w:t> </w:t>
      </w:r>
      <w:r>
        <w:rPr/>
        <w:t>contributing</w:t>
      </w:r>
      <w:r>
        <w:rPr>
          <w:spacing w:val="-8"/>
        </w:rPr>
        <w:t> </w:t>
      </w:r>
      <w:r>
        <w:rPr/>
        <w:t>to</w:t>
      </w:r>
      <w:r>
        <w:rPr>
          <w:spacing w:val="-9"/>
        </w:rPr>
        <w:t> </w:t>
      </w:r>
      <w:r>
        <w:rPr/>
        <w:t>the</w:t>
      </w:r>
      <w:r>
        <w:rPr>
          <w:spacing w:val="-9"/>
        </w:rPr>
        <w:t> </w:t>
      </w:r>
      <w:r>
        <w:rPr/>
        <w:t>organizations</w:t>
      </w:r>
      <w:r>
        <w:rPr>
          <w:spacing w:val="-8"/>
        </w:rPr>
        <w:t> </w:t>
      </w:r>
      <w:r>
        <w:rPr/>
        <w:t>where</w:t>
      </w:r>
      <w:r>
        <w:rPr>
          <w:spacing w:val="-9"/>
        </w:rPr>
        <w:t> </w:t>
      </w:r>
      <w:r>
        <w:rPr/>
        <w:t>students</w:t>
      </w:r>
      <w:r>
        <w:rPr>
          <w:spacing w:val="-8"/>
        </w:rPr>
        <w:t> </w:t>
      </w:r>
      <w:r>
        <w:rPr/>
        <w:t>are</w:t>
      </w:r>
      <w:r>
        <w:rPr>
          <w:spacing w:val="-9"/>
        </w:rPr>
        <w:t> </w:t>
      </w:r>
      <w:r>
        <w:rPr/>
        <w:t>placed</w:t>
      </w:r>
      <w:r>
        <w:rPr>
          <w:spacing w:val="-9"/>
        </w:rPr>
        <w:t> </w:t>
      </w:r>
      <w:r>
        <w:rPr/>
        <w:t>by</w:t>
      </w:r>
      <w:r>
        <w:rPr>
          <w:spacing w:val="-8"/>
        </w:rPr>
        <w:t> </w:t>
      </w:r>
      <w:r>
        <w:rPr/>
        <w:t>offering</w:t>
      </w:r>
      <w:r>
        <w:rPr>
          <w:spacing w:val="-9"/>
        </w:rPr>
        <w:t> </w:t>
      </w:r>
      <w:r>
        <w:rPr/>
        <w:t>assistance</w:t>
      </w:r>
      <w:r>
        <w:rPr>
          <w:spacing w:val="-9"/>
        </w:rPr>
        <w:t> </w:t>
      </w:r>
      <w:r>
        <w:rPr/>
        <w:t>on</w:t>
      </w:r>
      <w:r>
        <w:rPr>
          <w:spacing w:val="-8"/>
        </w:rPr>
        <w:t> </w:t>
      </w:r>
      <w:r>
        <w:rPr/>
        <w:t>valued projects and bringing new ideas to</w:t>
      </w:r>
      <w:r>
        <w:rPr>
          <w:spacing w:val="-1"/>
        </w:rPr>
        <w:t> </w:t>
      </w:r>
      <w:r>
        <w:rPr/>
        <w:t>practitioners.</w:t>
      </w:r>
    </w:p>
    <w:p>
      <w:pPr>
        <w:pStyle w:val="BodyText"/>
        <w:rPr>
          <w:sz w:val="28"/>
        </w:rPr>
      </w:pPr>
    </w:p>
    <w:p>
      <w:pPr>
        <w:pStyle w:val="Heading2"/>
        <w:spacing w:before="242"/>
        <w:ind w:left="863"/>
        <w:jc w:val="both"/>
      </w:pPr>
      <w:r>
        <w:rPr>
          <w:color w:val="1F497C"/>
        </w:rPr>
        <w:t>FIELD PLACEMENT PROCESS</w:t>
      </w:r>
    </w:p>
    <w:p>
      <w:pPr>
        <w:pStyle w:val="BodyText"/>
        <w:spacing w:before="240"/>
        <w:ind w:left="867" w:right="205"/>
        <w:jc w:val="both"/>
      </w:pPr>
      <w:r>
        <w:rPr/>
        <w:t>At</w:t>
      </w:r>
      <w:r>
        <w:rPr>
          <w:spacing w:val="-4"/>
        </w:rPr>
        <w:t> </w:t>
      </w:r>
      <w:r>
        <w:rPr/>
        <w:t>the</w:t>
      </w:r>
      <w:r>
        <w:rPr>
          <w:spacing w:val="-4"/>
        </w:rPr>
        <w:t> </w:t>
      </w:r>
      <w:r>
        <w:rPr/>
        <w:t>University</w:t>
      </w:r>
      <w:r>
        <w:rPr>
          <w:spacing w:val="-3"/>
        </w:rPr>
        <w:t> </w:t>
      </w:r>
      <w:r>
        <w:rPr/>
        <w:t>of</w:t>
      </w:r>
      <w:r>
        <w:rPr>
          <w:spacing w:val="-4"/>
        </w:rPr>
        <w:t> </w:t>
      </w:r>
      <w:r>
        <w:rPr/>
        <w:t>Memphis,</w:t>
      </w:r>
      <w:r>
        <w:rPr>
          <w:spacing w:val="-3"/>
        </w:rPr>
        <w:t> </w:t>
      </w:r>
      <w:r>
        <w:rPr/>
        <w:t>the</w:t>
      </w:r>
      <w:r>
        <w:rPr>
          <w:spacing w:val="-4"/>
        </w:rPr>
        <w:t> </w:t>
      </w:r>
      <w:r>
        <w:rPr/>
        <w:t>field</w:t>
      </w:r>
      <w:r>
        <w:rPr>
          <w:spacing w:val="-3"/>
        </w:rPr>
        <w:t> </w:t>
      </w:r>
      <w:r>
        <w:rPr/>
        <w:t>internship</w:t>
      </w:r>
      <w:r>
        <w:rPr>
          <w:spacing w:val="-4"/>
        </w:rPr>
        <w:t> </w:t>
      </w:r>
      <w:r>
        <w:rPr/>
        <w:t>consists</w:t>
      </w:r>
      <w:r>
        <w:rPr>
          <w:spacing w:val="-3"/>
        </w:rPr>
        <w:t> </w:t>
      </w:r>
      <w:r>
        <w:rPr/>
        <w:t>of</w:t>
      </w:r>
      <w:r>
        <w:rPr>
          <w:spacing w:val="-4"/>
        </w:rPr>
        <w:t> </w:t>
      </w:r>
      <w:r>
        <w:rPr/>
        <w:t>six</w:t>
      </w:r>
      <w:r>
        <w:rPr>
          <w:spacing w:val="-4"/>
        </w:rPr>
        <w:t> </w:t>
      </w:r>
      <w:r>
        <w:rPr/>
        <w:t>different</w:t>
      </w:r>
      <w:r>
        <w:rPr>
          <w:spacing w:val="-3"/>
        </w:rPr>
        <w:t> </w:t>
      </w:r>
      <w:r>
        <w:rPr/>
        <w:t>courses:</w:t>
      </w:r>
      <w:r>
        <w:rPr>
          <w:spacing w:val="-4"/>
        </w:rPr>
        <w:t> </w:t>
      </w:r>
      <w:r>
        <w:rPr/>
        <w:t>Two</w:t>
      </w:r>
      <w:r>
        <w:rPr>
          <w:spacing w:val="-3"/>
        </w:rPr>
        <w:t> </w:t>
      </w:r>
      <w:r>
        <w:rPr/>
        <w:t>courses</w:t>
      </w:r>
      <w:r>
        <w:rPr>
          <w:spacing w:val="-4"/>
        </w:rPr>
        <w:t> </w:t>
      </w:r>
      <w:r>
        <w:rPr/>
        <w:t>for</w:t>
      </w:r>
      <w:r>
        <w:rPr>
          <w:spacing w:val="-3"/>
        </w:rPr>
        <w:t> </w:t>
      </w:r>
      <w:r>
        <w:rPr/>
        <w:t>the foundation (generalist) level, SWRK 7051 and SWRK 7052; and four courses for the advanced (specialization) level, SWRK 7053, SWRK 7054, SWRK 7055, and SWRK 7056. For the foundation placement (SWRK 7051 and 7052), students will be assigned to an agency in the community by the MSW</w:t>
      </w:r>
      <w:r>
        <w:rPr>
          <w:spacing w:val="-11"/>
        </w:rPr>
        <w:t> </w:t>
      </w:r>
      <w:r>
        <w:rPr/>
        <w:t>Director</w:t>
      </w:r>
      <w:r>
        <w:rPr>
          <w:spacing w:val="-10"/>
        </w:rPr>
        <w:t> </w:t>
      </w:r>
      <w:r>
        <w:rPr/>
        <w:t>of</w:t>
      </w:r>
      <w:r>
        <w:rPr>
          <w:spacing w:val="-11"/>
        </w:rPr>
        <w:t> </w:t>
      </w:r>
      <w:r>
        <w:rPr/>
        <w:t>Field</w:t>
      </w:r>
      <w:r>
        <w:rPr>
          <w:spacing w:val="-10"/>
        </w:rPr>
        <w:t> </w:t>
      </w:r>
      <w:r>
        <w:rPr/>
        <w:t>Placement.</w:t>
      </w:r>
      <w:r>
        <w:rPr>
          <w:spacing w:val="-11"/>
        </w:rPr>
        <w:t> </w:t>
      </w:r>
      <w:r>
        <w:rPr/>
        <w:t>For</w:t>
      </w:r>
      <w:r>
        <w:rPr>
          <w:spacing w:val="-10"/>
        </w:rPr>
        <w:t> </w:t>
      </w:r>
      <w:r>
        <w:rPr/>
        <w:t>the</w:t>
      </w:r>
      <w:r>
        <w:rPr>
          <w:spacing w:val="-11"/>
        </w:rPr>
        <w:t> </w:t>
      </w:r>
      <w:r>
        <w:rPr/>
        <w:t>specialization</w:t>
      </w:r>
      <w:r>
        <w:rPr>
          <w:spacing w:val="-10"/>
        </w:rPr>
        <w:t> </w:t>
      </w:r>
      <w:r>
        <w:rPr/>
        <w:t>placement</w:t>
      </w:r>
      <w:r>
        <w:rPr>
          <w:spacing w:val="-11"/>
        </w:rPr>
        <w:t> </w:t>
      </w:r>
      <w:r>
        <w:rPr/>
        <w:t>SWRK</w:t>
      </w:r>
      <w:r>
        <w:rPr>
          <w:spacing w:val="-10"/>
        </w:rPr>
        <w:t> </w:t>
      </w:r>
      <w:r>
        <w:rPr/>
        <w:t>7053</w:t>
      </w:r>
      <w:r>
        <w:rPr>
          <w:spacing w:val="-11"/>
        </w:rPr>
        <w:t> </w:t>
      </w:r>
      <w:r>
        <w:rPr/>
        <w:t>and</w:t>
      </w:r>
      <w:r>
        <w:rPr>
          <w:spacing w:val="-10"/>
        </w:rPr>
        <w:t> </w:t>
      </w:r>
      <w:r>
        <w:rPr/>
        <w:t>7054),</w:t>
      </w:r>
      <w:r>
        <w:rPr>
          <w:spacing w:val="-11"/>
        </w:rPr>
        <w:t> </w:t>
      </w:r>
      <w:r>
        <w:rPr/>
        <w:t>students</w:t>
      </w:r>
      <w:r>
        <w:rPr>
          <w:spacing w:val="-10"/>
        </w:rPr>
        <w:t> </w:t>
      </w:r>
      <w:r>
        <w:rPr/>
        <w:t>will have more voice in selecting the agency to which they are assigned, but the assignment ultimately</w:t>
      </w:r>
      <w:r>
        <w:rPr>
          <w:spacing w:val="-38"/>
        </w:rPr>
        <w:t> </w:t>
      </w:r>
      <w:r>
        <w:rPr/>
        <w:t>will be made by the MSW Director of Field Placement. SWRK 7055 and SWRK 7056 are the field seminars that</w:t>
      </w:r>
      <w:r>
        <w:rPr>
          <w:spacing w:val="-8"/>
        </w:rPr>
        <w:t> </w:t>
      </w:r>
      <w:r>
        <w:rPr/>
        <w:t>accompany</w:t>
      </w:r>
      <w:r>
        <w:rPr>
          <w:spacing w:val="-8"/>
        </w:rPr>
        <w:t> </w:t>
      </w:r>
      <w:r>
        <w:rPr/>
        <w:t>specialization</w:t>
      </w:r>
      <w:r>
        <w:rPr>
          <w:spacing w:val="-7"/>
        </w:rPr>
        <w:t> </w:t>
      </w:r>
      <w:r>
        <w:rPr/>
        <w:t>year</w:t>
      </w:r>
      <w:r>
        <w:rPr>
          <w:spacing w:val="-8"/>
        </w:rPr>
        <w:t> </w:t>
      </w:r>
      <w:r>
        <w:rPr/>
        <w:t>field.</w:t>
      </w:r>
      <w:r>
        <w:rPr>
          <w:spacing w:val="-7"/>
        </w:rPr>
        <w:t> </w:t>
      </w:r>
      <w:r>
        <w:rPr/>
        <w:t>Advanced</w:t>
      </w:r>
      <w:r>
        <w:rPr>
          <w:spacing w:val="-8"/>
        </w:rPr>
        <w:t> </w:t>
      </w:r>
      <w:r>
        <w:rPr/>
        <w:t>standing</w:t>
      </w:r>
      <w:r>
        <w:rPr>
          <w:spacing w:val="-7"/>
        </w:rPr>
        <w:t> </w:t>
      </w:r>
      <w:r>
        <w:rPr/>
        <w:t>students</w:t>
      </w:r>
      <w:r>
        <w:rPr>
          <w:spacing w:val="-8"/>
        </w:rPr>
        <w:t> </w:t>
      </w:r>
      <w:r>
        <w:rPr/>
        <w:t>take</w:t>
      </w:r>
      <w:r>
        <w:rPr>
          <w:spacing w:val="-8"/>
        </w:rPr>
        <w:t> </w:t>
      </w:r>
      <w:r>
        <w:rPr/>
        <w:t>a</w:t>
      </w:r>
      <w:r>
        <w:rPr>
          <w:spacing w:val="-7"/>
        </w:rPr>
        <w:t> </w:t>
      </w:r>
      <w:r>
        <w:rPr/>
        <w:t>one-credit</w:t>
      </w:r>
      <w:r>
        <w:rPr>
          <w:spacing w:val="-8"/>
        </w:rPr>
        <w:t> </w:t>
      </w:r>
      <w:r>
        <w:rPr/>
        <w:t>hour</w:t>
      </w:r>
      <w:r>
        <w:rPr>
          <w:spacing w:val="-7"/>
        </w:rPr>
        <w:t> </w:t>
      </w:r>
      <w:r>
        <w:rPr/>
        <w:t>generalist level field course (SWRK 7050) before entering the specialization year of field</w:t>
      </w:r>
      <w:r>
        <w:rPr>
          <w:spacing w:val="-5"/>
        </w:rPr>
        <w:t> </w:t>
      </w:r>
      <w:r>
        <w:rPr/>
        <w:t>placement.</w:t>
      </w:r>
    </w:p>
    <w:p>
      <w:pPr>
        <w:pStyle w:val="BodyText"/>
        <w:spacing w:before="238"/>
        <w:ind w:left="865" w:right="212"/>
        <w:jc w:val="both"/>
      </w:pPr>
      <w:r>
        <w:rPr/>
        <w:t>Each field course is worth 3 credit hours (with the exception of SWRK 7050: Advanced Standing Field), but the actual hours of placement in the agency will vary from one semester to the next. The student will</w:t>
      </w:r>
      <w:r>
        <w:rPr>
          <w:spacing w:val="-7"/>
        </w:rPr>
        <w:t> </w:t>
      </w:r>
      <w:r>
        <w:rPr/>
        <w:t>be</w:t>
      </w:r>
      <w:r>
        <w:rPr>
          <w:spacing w:val="-6"/>
        </w:rPr>
        <w:t> </w:t>
      </w:r>
      <w:r>
        <w:rPr/>
        <w:t>engaged</w:t>
      </w:r>
      <w:r>
        <w:rPr>
          <w:spacing w:val="-7"/>
        </w:rPr>
        <w:t> </w:t>
      </w:r>
      <w:r>
        <w:rPr/>
        <w:t>in</w:t>
      </w:r>
      <w:r>
        <w:rPr>
          <w:spacing w:val="-6"/>
        </w:rPr>
        <w:t> </w:t>
      </w:r>
      <w:r>
        <w:rPr/>
        <w:t>16</w:t>
      </w:r>
      <w:r>
        <w:rPr>
          <w:spacing w:val="-6"/>
        </w:rPr>
        <w:t> </w:t>
      </w:r>
      <w:r>
        <w:rPr/>
        <w:t>hours</w:t>
      </w:r>
      <w:r>
        <w:rPr>
          <w:spacing w:val="-7"/>
        </w:rPr>
        <w:t> </w:t>
      </w:r>
      <w:r>
        <w:rPr/>
        <w:t>per</w:t>
      </w:r>
      <w:r>
        <w:rPr>
          <w:spacing w:val="-6"/>
        </w:rPr>
        <w:t> </w:t>
      </w:r>
      <w:r>
        <w:rPr/>
        <w:t>week</w:t>
      </w:r>
      <w:r>
        <w:rPr>
          <w:spacing w:val="-6"/>
        </w:rPr>
        <w:t> </w:t>
      </w:r>
      <w:r>
        <w:rPr/>
        <w:t>of</w:t>
      </w:r>
      <w:r>
        <w:rPr>
          <w:spacing w:val="-7"/>
        </w:rPr>
        <w:t> </w:t>
      </w:r>
      <w:r>
        <w:rPr/>
        <w:t>field</w:t>
      </w:r>
      <w:r>
        <w:rPr>
          <w:spacing w:val="-6"/>
        </w:rPr>
        <w:t> </w:t>
      </w:r>
      <w:r>
        <w:rPr/>
        <w:t>during</w:t>
      </w:r>
      <w:r>
        <w:rPr>
          <w:spacing w:val="-7"/>
        </w:rPr>
        <w:t> </w:t>
      </w:r>
      <w:r>
        <w:rPr/>
        <w:t>the</w:t>
      </w:r>
      <w:r>
        <w:rPr>
          <w:spacing w:val="-6"/>
        </w:rPr>
        <w:t> </w:t>
      </w:r>
      <w:r>
        <w:rPr/>
        <w:t>first</w:t>
      </w:r>
      <w:r>
        <w:rPr>
          <w:spacing w:val="-6"/>
        </w:rPr>
        <w:t> </w:t>
      </w:r>
      <w:r>
        <w:rPr/>
        <w:t>year</w:t>
      </w:r>
      <w:r>
        <w:rPr>
          <w:spacing w:val="-7"/>
        </w:rPr>
        <w:t> </w:t>
      </w:r>
      <w:r>
        <w:rPr/>
        <w:t>and</w:t>
      </w:r>
      <w:r>
        <w:rPr>
          <w:spacing w:val="-6"/>
        </w:rPr>
        <w:t> </w:t>
      </w:r>
      <w:r>
        <w:rPr/>
        <w:t>20</w:t>
      </w:r>
      <w:r>
        <w:rPr>
          <w:spacing w:val="-6"/>
        </w:rPr>
        <w:t> </w:t>
      </w:r>
      <w:r>
        <w:rPr/>
        <w:t>hours</w:t>
      </w:r>
      <w:r>
        <w:rPr>
          <w:spacing w:val="-7"/>
        </w:rPr>
        <w:t> </w:t>
      </w:r>
      <w:r>
        <w:rPr/>
        <w:t>per</w:t>
      </w:r>
      <w:r>
        <w:rPr>
          <w:spacing w:val="-6"/>
        </w:rPr>
        <w:t> </w:t>
      </w:r>
      <w:r>
        <w:rPr/>
        <w:t>week</w:t>
      </w:r>
      <w:r>
        <w:rPr>
          <w:spacing w:val="-7"/>
        </w:rPr>
        <w:t> </w:t>
      </w:r>
      <w:r>
        <w:rPr/>
        <w:t>of</w:t>
      </w:r>
      <w:r>
        <w:rPr>
          <w:spacing w:val="-6"/>
        </w:rPr>
        <w:t> </w:t>
      </w:r>
      <w:r>
        <w:rPr/>
        <w:t>field</w:t>
      </w:r>
      <w:r>
        <w:rPr>
          <w:spacing w:val="-6"/>
        </w:rPr>
        <w:t> </w:t>
      </w:r>
      <w:r>
        <w:rPr/>
        <w:t>during the second</w:t>
      </w:r>
      <w:r>
        <w:rPr>
          <w:spacing w:val="-1"/>
        </w:rPr>
        <w:t> </w:t>
      </w:r>
      <w:r>
        <w:rPr/>
        <w:t>year.</w:t>
      </w:r>
    </w:p>
    <w:p>
      <w:pPr>
        <w:pStyle w:val="BodyText"/>
        <w:spacing w:before="12"/>
        <w:rPr>
          <w:sz w:val="23"/>
        </w:rPr>
      </w:pPr>
    </w:p>
    <w:p>
      <w:pPr>
        <w:pStyle w:val="Heading2"/>
        <w:ind w:left="867" w:right="205"/>
        <w:jc w:val="both"/>
      </w:pPr>
      <w:r>
        <w:rPr>
          <w:color w:val="404040"/>
        </w:rPr>
        <w:t>Students understand that evening and weekend field placements are not guaranteed. Students understand that it is highly recommended that MSW students have availability for field placement during</w:t>
      </w:r>
      <w:r>
        <w:rPr>
          <w:color w:val="404040"/>
          <w:spacing w:val="-5"/>
        </w:rPr>
        <w:t> </w:t>
      </w:r>
      <w:r>
        <w:rPr>
          <w:color w:val="404040"/>
        </w:rPr>
        <w:t>weekday</w:t>
      </w:r>
      <w:r>
        <w:rPr>
          <w:color w:val="404040"/>
          <w:spacing w:val="-4"/>
        </w:rPr>
        <w:t> </w:t>
      </w:r>
      <w:r>
        <w:rPr>
          <w:color w:val="404040"/>
        </w:rPr>
        <w:t>daytime</w:t>
      </w:r>
      <w:r>
        <w:rPr>
          <w:color w:val="404040"/>
          <w:spacing w:val="-4"/>
        </w:rPr>
        <w:t> </w:t>
      </w:r>
      <w:r>
        <w:rPr>
          <w:color w:val="404040"/>
        </w:rPr>
        <w:t>hours</w:t>
      </w:r>
      <w:r>
        <w:rPr>
          <w:color w:val="404040"/>
          <w:spacing w:val="-5"/>
        </w:rPr>
        <w:t> </w:t>
      </w:r>
      <w:r>
        <w:rPr>
          <w:color w:val="404040"/>
        </w:rPr>
        <w:t>(M-F,</w:t>
      </w:r>
      <w:r>
        <w:rPr>
          <w:color w:val="404040"/>
          <w:spacing w:val="-4"/>
        </w:rPr>
        <w:t> </w:t>
      </w:r>
      <w:r>
        <w:rPr>
          <w:color w:val="404040"/>
        </w:rPr>
        <w:t>8</w:t>
      </w:r>
      <w:r>
        <w:rPr>
          <w:color w:val="404040"/>
          <w:spacing w:val="-4"/>
        </w:rPr>
        <w:t> </w:t>
      </w:r>
      <w:r>
        <w:rPr>
          <w:color w:val="404040"/>
        </w:rPr>
        <w:t>am</w:t>
      </w:r>
      <w:r>
        <w:rPr>
          <w:color w:val="404040"/>
          <w:spacing w:val="-5"/>
        </w:rPr>
        <w:t> </w:t>
      </w:r>
      <w:r>
        <w:rPr>
          <w:color w:val="404040"/>
        </w:rPr>
        <w:t>–</w:t>
      </w:r>
      <w:r>
        <w:rPr>
          <w:color w:val="404040"/>
          <w:spacing w:val="-4"/>
        </w:rPr>
        <w:t> </w:t>
      </w:r>
      <w:r>
        <w:rPr>
          <w:color w:val="404040"/>
        </w:rPr>
        <w:t>5</w:t>
      </w:r>
      <w:r>
        <w:rPr>
          <w:color w:val="404040"/>
          <w:spacing w:val="-4"/>
        </w:rPr>
        <w:t> </w:t>
      </w:r>
      <w:r>
        <w:rPr>
          <w:color w:val="404040"/>
        </w:rPr>
        <w:t>pm).</w:t>
      </w:r>
      <w:r>
        <w:rPr>
          <w:color w:val="404040"/>
          <w:spacing w:val="-5"/>
        </w:rPr>
        <w:t> </w:t>
      </w:r>
      <w:r>
        <w:rPr>
          <w:color w:val="404040"/>
        </w:rPr>
        <w:t>Students</w:t>
      </w:r>
      <w:r>
        <w:rPr>
          <w:color w:val="404040"/>
          <w:spacing w:val="-4"/>
        </w:rPr>
        <w:t> </w:t>
      </w:r>
      <w:r>
        <w:rPr>
          <w:color w:val="404040"/>
        </w:rPr>
        <w:t>understand</w:t>
      </w:r>
      <w:r>
        <w:rPr>
          <w:color w:val="404040"/>
          <w:spacing w:val="-4"/>
        </w:rPr>
        <w:t> </w:t>
      </w:r>
      <w:r>
        <w:rPr>
          <w:color w:val="404040"/>
        </w:rPr>
        <w:t>that</w:t>
      </w:r>
      <w:r>
        <w:rPr>
          <w:color w:val="404040"/>
          <w:spacing w:val="-4"/>
        </w:rPr>
        <w:t> </w:t>
      </w:r>
      <w:r>
        <w:rPr>
          <w:color w:val="404040"/>
        </w:rPr>
        <w:t>they</w:t>
      </w:r>
      <w:r>
        <w:rPr>
          <w:color w:val="404040"/>
          <w:spacing w:val="-5"/>
        </w:rPr>
        <w:t> </w:t>
      </w:r>
      <w:r>
        <w:rPr>
          <w:color w:val="404040"/>
        </w:rPr>
        <w:t>risk</w:t>
      </w:r>
      <w:r>
        <w:rPr>
          <w:color w:val="404040"/>
          <w:spacing w:val="-4"/>
        </w:rPr>
        <w:t> </w:t>
      </w:r>
      <w:r>
        <w:rPr>
          <w:color w:val="404040"/>
        </w:rPr>
        <w:t>not</w:t>
      </w:r>
      <w:r>
        <w:rPr>
          <w:color w:val="404040"/>
          <w:spacing w:val="-4"/>
        </w:rPr>
        <w:t> </w:t>
      </w:r>
      <w:r>
        <w:rPr>
          <w:color w:val="404040"/>
        </w:rPr>
        <w:t>obtaining a field placement if student is not available during weekday daytime</w:t>
      </w:r>
      <w:r>
        <w:rPr>
          <w:color w:val="404040"/>
          <w:spacing w:val="-3"/>
        </w:rPr>
        <w:t> </w:t>
      </w:r>
      <w:r>
        <w:rPr>
          <w:color w:val="404040"/>
        </w:rPr>
        <w:t>hours.</w:t>
      </w:r>
    </w:p>
    <w:p>
      <w:pPr>
        <w:spacing w:after="0"/>
        <w:jc w:val="both"/>
        <w:sectPr>
          <w:pgSz w:w="12240" w:h="15840"/>
          <w:pgMar w:header="0" w:footer="992" w:top="1500" w:bottom="1180" w:left="300" w:right="920"/>
        </w:sectPr>
      </w:pPr>
    </w:p>
    <w:p>
      <w:pPr>
        <w:pStyle w:val="BodyText"/>
        <w:spacing w:before="73"/>
        <w:ind w:left="842" w:firstLine="21"/>
      </w:pPr>
      <w:r>
        <w:rPr/>
        <w:t>Grades for field placement will be assigned by the MSW Director of Field Placement but will be based largely on the evaluation of the field instructor at the agency to which the student is assigned for placement. As a part of the field experience, students will meet in seminars several times during the semester. The student’s participation in the seminars is intended to foster the learning experience involved in doing field placement and will be a factor in the student’s grade.</w:t>
      </w:r>
    </w:p>
    <w:p>
      <w:pPr>
        <w:pStyle w:val="BodyText"/>
        <w:rPr>
          <w:sz w:val="28"/>
        </w:rPr>
      </w:pPr>
    </w:p>
    <w:p>
      <w:pPr>
        <w:pStyle w:val="BodyText"/>
        <w:spacing w:before="3"/>
      </w:pPr>
    </w:p>
    <w:p>
      <w:pPr>
        <w:pStyle w:val="Heading2"/>
      </w:pPr>
      <w:r>
        <w:rPr>
          <w:color w:val="1F497C"/>
        </w:rPr>
        <w:t>MSW DISTANCE-EDUCATION FIELD PRACTICE</w:t>
      </w:r>
    </w:p>
    <w:p>
      <w:pPr>
        <w:pStyle w:val="BodyText"/>
        <w:spacing w:before="6"/>
        <w:rPr>
          <w:b/>
          <w:sz w:val="25"/>
        </w:rPr>
      </w:pPr>
    </w:p>
    <w:p>
      <w:pPr>
        <w:pStyle w:val="BodyText"/>
        <w:ind w:left="867" w:right="104"/>
        <w:jc w:val="both"/>
      </w:pPr>
      <w:r>
        <w:rPr/>
        <w:t>The University of Memphis School of Social Work Office of Field Practice works closely with distance students to collaboratively facilitate field placements with partnering organizations. When pursuing graduate study in social work, the field education requirements are an important consideration.</w:t>
      </w:r>
    </w:p>
    <w:p>
      <w:pPr>
        <w:pStyle w:val="BodyText"/>
      </w:pPr>
    </w:p>
    <w:p>
      <w:pPr>
        <w:pStyle w:val="BodyText"/>
        <w:ind w:left="867" w:right="104"/>
        <w:jc w:val="both"/>
      </w:pPr>
      <w:r>
        <w:rPr/>
        <w:t>Distance students are required to make the initial contact with prospective agencies of interests to gauge availability of the agency to have a student and collect the contact information for the Field Director and Field Assistant. This information is needed because the Office of Field Practice may not know the agencies that the distance students are approaching if said agencies have not had a previous student.</w:t>
      </w:r>
      <w:r>
        <w:rPr>
          <w:spacing w:val="-10"/>
        </w:rPr>
        <w:t> </w:t>
      </w:r>
      <w:r>
        <w:rPr/>
        <w:t>New</w:t>
      </w:r>
      <w:r>
        <w:rPr>
          <w:spacing w:val="-10"/>
        </w:rPr>
        <w:t> </w:t>
      </w:r>
      <w:r>
        <w:rPr/>
        <w:t>agencies</w:t>
      </w:r>
      <w:r>
        <w:rPr>
          <w:spacing w:val="-10"/>
        </w:rPr>
        <w:t> </w:t>
      </w:r>
      <w:r>
        <w:rPr/>
        <w:t>must</w:t>
      </w:r>
      <w:r>
        <w:rPr>
          <w:spacing w:val="-10"/>
        </w:rPr>
        <w:t> </w:t>
      </w:r>
      <w:r>
        <w:rPr/>
        <w:t>have</w:t>
      </w:r>
      <w:r>
        <w:rPr>
          <w:spacing w:val="-9"/>
        </w:rPr>
        <w:t> </w:t>
      </w:r>
      <w:r>
        <w:rPr/>
        <w:t>affiliation</w:t>
      </w:r>
      <w:r>
        <w:rPr>
          <w:spacing w:val="-10"/>
        </w:rPr>
        <w:t> </w:t>
      </w:r>
      <w:r>
        <w:rPr/>
        <w:t>agreement</w:t>
      </w:r>
      <w:r>
        <w:rPr>
          <w:spacing w:val="-10"/>
        </w:rPr>
        <w:t> </w:t>
      </w:r>
      <w:r>
        <w:rPr/>
        <w:t>negotiations</w:t>
      </w:r>
      <w:r>
        <w:rPr>
          <w:spacing w:val="-10"/>
        </w:rPr>
        <w:t> </w:t>
      </w:r>
      <w:r>
        <w:rPr/>
        <w:t>and</w:t>
      </w:r>
      <w:r>
        <w:rPr>
          <w:spacing w:val="-10"/>
        </w:rPr>
        <w:t> </w:t>
      </w:r>
      <w:r>
        <w:rPr/>
        <w:t>other</w:t>
      </w:r>
      <w:r>
        <w:rPr>
          <w:spacing w:val="-9"/>
        </w:rPr>
        <w:t> </w:t>
      </w:r>
      <w:r>
        <w:rPr/>
        <w:t>required</w:t>
      </w:r>
      <w:r>
        <w:rPr>
          <w:spacing w:val="-10"/>
        </w:rPr>
        <w:t> </w:t>
      </w:r>
      <w:r>
        <w:rPr/>
        <w:t>communication with the school. Once the student’s plan is approved, both distance and campus student must be interviewed prior to confirmation of the placement. This process must occur before the student can begin their field placement with an</w:t>
      </w:r>
      <w:r>
        <w:rPr>
          <w:spacing w:val="-1"/>
        </w:rPr>
        <w:t> </w:t>
      </w:r>
      <w:r>
        <w:rPr/>
        <w:t>agency.</w:t>
      </w:r>
    </w:p>
    <w:p>
      <w:pPr>
        <w:pStyle w:val="BodyText"/>
        <w:spacing w:before="3"/>
      </w:pPr>
    </w:p>
    <w:p>
      <w:pPr>
        <w:pStyle w:val="BodyText"/>
        <w:ind w:left="867"/>
      </w:pPr>
      <w:r>
        <w:rPr/>
        <w:t>If distance students are unable to secure a placement within their geographical area, then they must understand that they will have to accept a placement in Memphis, TN.</w:t>
      </w:r>
    </w:p>
    <w:p>
      <w:pPr>
        <w:pStyle w:val="BodyText"/>
        <w:rPr>
          <w:sz w:val="28"/>
        </w:rPr>
      </w:pPr>
    </w:p>
    <w:p>
      <w:pPr>
        <w:pStyle w:val="Heading2"/>
        <w:spacing w:before="186"/>
        <w:ind w:left="863"/>
      </w:pPr>
      <w:r>
        <w:rPr>
          <w:color w:val="1F497C"/>
        </w:rPr>
        <w:t>PROFESSIONAL LIABILITY INSURANCE</w:t>
      </w:r>
    </w:p>
    <w:p>
      <w:pPr>
        <w:pStyle w:val="BodyText"/>
        <w:spacing w:line="247" w:lineRule="auto" w:before="240"/>
        <w:ind w:left="865" w:right="214"/>
      </w:pPr>
      <w:r>
        <w:rPr/>
        <w:t>All students enrolled in field placement are responsible for procuring liability insurance (with a minimum coverage of 1,000,000/5,000,000) prior to the beginning of field placement. Prior to beginning placement, the student must join the National Association of Social Workers (NASW) and then purchase coverage through the National Association of Social Workers Assurance Services: Additional information about insurance coverage can be found here: </w:t>
      </w:r>
      <w:hyperlink r:id="rId17">
        <w:r>
          <w:rPr>
            <w:color w:val="0000FF"/>
            <w:u w:val="single" w:color="0000FF"/>
          </w:rPr>
          <w:t>http://www.naswassurance.org/malpractice/professional-liability-individuals/).</w:t>
        </w:r>
      </w:hyperlink>
    </w:p>
    <w:p>
      <w:pPr>
        <w:spacing w:after="0" w:line="247" w:lineRule="auto"/>
        <w:sectPr>
          <w:pgSz w:w="12240" w:h="15840"/>
          <w:pgMar w:header="0" w:footer="992" w:top="1380" w:bottom="1180" w:left="300" w:right="920"/>
        </w:sectPr>
      </w:pPr>
    </w:p>
    <w:p>
      <w:pPr>
        <w:pStyle w:val="Heading2"/>
        <w:spacing w:before="73"/>
        <w:ind w:left="867"/>
      </w:pPr>
      <w:bookmarkStart w:name="_TOC_250000" w:id="4"/>
      <w:bookmarkEnd w:id="4"/>
      <w:r>
        <w:rPr>
          <w:color w:val="1F497C"/>
        </w:rPr>
        <w:t>POLICIES &amp; PROCEDURES</w:t>
      </w:r>
    </w:p>
    <w:p>
      <w:pPr>
        <w:pStyle w:val="BodyText"/>
        <w:spacing w:before="3"/>
        <w:rPr>
          <w:b/>
          <w:sz w:val="32"/>
        </w:rPr>
      </w:pPr>
    </w:p>
    <w:p>
      <w:pPr>
        <w:spacing w:before="0"/>
        <w:ind w:left="865" w:right="0" w:firstLine="0"/>
        <w:jc w:val="left"/>
        <w:rPr>
          <w:b/>
          <w:sz w:val="24"/>
        </w:rPr>
      </w:pPr>
      <w:r>
        <w:rPr>
          <w:b/>
          <w:color w:val="1F497C"/>
          <w:sz w:val="24"/>
        </w:rPr>
        <w:t>ADVISING</w:t>
      </w:r>
    </w:p>
    <w:p>
      <w:pPr>
        <w:pStyle w:val="BodyText"/>
        <w:spacing w:before="249"/>
        <w:ind w:left="867" w:right="103"/>
        <w:jc w:val="both"/>
      </w:pPr>
      <w:r>
        <w:rPr/>
        <w:t>Students</w:t>
      </w:r>
      <w:r>
        <w:rPr>
          <w:spacing w:val="-7"/>
        </w:rPr>
        <w:t> </w:t>
      </w:r>
      <w:r>
        <w:rPr/>
        <w:t>must</w:t>
      </w:r>
      <w:r>
        <w:rPr>
          <w:spacing w:val="-6"/>
        </w:rPr>
        <w:t> </w:t>
      </w:r>
      <w:r>
        <w:rPr/>
        <w:t>seek</w:t>
      </w:r>
      <w:r>
        <w:rPr>
          <w:spacing w:val="-6"/>
        </w:rPr>
        <w:t> </w:t>
      </w:r>
      <w:r>
        <w:rPr/>
        <w:t>advising</w:t>
      </w:r>
      <w:r>
        <w:rPr>
          <w:spacing w:val="-6"/>
        </w:rPr>
        <w:t> </w:t>
      </w:r>
      <w:r>
        <w:rPr/>
        <w:t>from</w:t>
      </w:r>
      <w:r>
        <w:rPr>
          <w:spacing w:val="-6"/>
        </w:rPr>
        <w:t> </w:t>
      </w:r>
      <w:r>
        <w:rPr/>
        <w:t>their</w:t>
      </w:r>
      <w:r>
        <w:rPr>
          <w:spacing w:val="-7"/>
        </w:rPr>
        <w:t> </w:t>
      </w:r>
      <w:r>
        <w:rPr/>
        <w:t>assigned</w:t>
      </w:r>
      <w:r>
        <w:rPr>
          <w:spacing w:val="-6"/>
        </w:rPr>
        <w:t> </w:t>
      </w:r>
      <w:r>
        <w:rPr/>
        <w:t>academic</w:t>
      </w:r>
      <w:r>
        <w:rPr>
          <w:spacing w:val="-6"/>
        </w:rPr>
        <w:t> </w:t>
      </w:r>
      <w:r>
        <w:rPr/>
        <w:t>advising</w:t>
      </w:r>
      <w:r>
        <w:rPr>
          <w:spacing w:val="-6"/>
        </w:rPr>
        <w:t> </w:t>
      </w:r>
      <w:r>
        <w:rPr/>
        <w:t>during</w:t>
      </w:r>
      <w:r>
        <w:rPr>
          <w:spacing w:val="-6"/>
        </w:rPr>
        <w:t> </w:t>
      </w:r>
      <w:r>
        <w:rPr/>
        <w:t>the</w:t>
      </w:r>
      <w:r>
        <w:rPr>
          <w:spacing w:val="-7"/>
        </w:rPr>
        <w:t> </w:t>
      </w:r>
      <w:r>
        <w:rPr/>
        <w:t>advising</w:t>
      </w:r>
      <w:r>
        <w:rPr>
          <w:spacing w:val="-6"/>
        </w:rPr>
        <w:t> </w:t>
      </w:r>
      <w:r>
        <w:rPr/>
        <w:t>period</w:t>
      </w:r>
      <w:r>
        <w:rPr>
          <w:spacing w:val="-6"/>
        </w:rPr>
        <w:t> </w:t>
      </w:r>
      <w:r>
        <w:rPr/>
        <w:t>in</w:t>
      </w:r>
      <w:r>
        <w:rPr>
          <w:spacing w:val="-6"/>
        </w:rPr>
        <w:t> </w:t>
      </w:r>
      <w:r>
        <w:rPr/>
        <w:t>the</w:t>
      </w:r>
      <w:r>
        <w:rPr>
          <w:spacing w:val="-6"/>
        </w:rPr>
        <w:t> </w:t>
      </w:r>
      <w:r>
        <w:rPr/>
        <w:t>Fall (advising</w:t>
      </w:r>
      <w:r>
        <w:rPr>
          <w:spacing w:val="-7"/>
        </w:rPr>
        <w:t> </w:t>
      </w:r>
      <w:r>
        <w:rPr/>
        <w:t>for</w:t>
      </w:r>
      <w:r>
        <w:rPr>
          <w:spacing w:val="-6"/>
        </w:rPr>
        <w:t> </w:t>
      </w:r>
      <w:r>
        <w:rPr/>
        <w:t>Spring)</w:t>
      </w:r>
      <w:r>
        <w:rPr>
          <w:spacing w:val="-6"/>
        </w:rPr>
        <w:t> </w:t>
      </w:r>
      <w:r>
        <w:rPr/>
        <w:t>and</w:t>
      </w:r>
      <w:r>
        <w:rPr>
          <w:spacing w:val="-7"/>
        </w:rPr>
        <w:t> </w:t>
      </w:r>
      <w:r>
        <w:rPr/>
        <w:t>Spring</w:t>
      </w:r>
      <w:r>
        <w:rPr>
          <w:spacing w:val="-6"/>
        </w:rPr>
        <w:t> </w:t>
      </w:r>
      <w:r>
        <w:rPr/>
        <w:t>(advising</w:t>
      </w:r>
      <w:r>
        <w:rPr>
          <w:spacing w:val="-6"/>
        </w:rPr>
        <w:t> </w:t>
      </w:r>
      <w:r>
        <w:rPr/>
        <w:t>for</w:t>
      </w:r>
      <w:r>
        <w:rPr>
          <w:spacing w:val="-7"/>
        </w:rPr>
        <w:t> </w:t>
      </w:r>
      <w:r>
        <w:rPr/>
        <w:t>Summer</w:t>
      </w:r>
      <w:r>
        <w:rPr>
          <w:spacing w:val="-6"/>
        </w:rPr>
        <w:t> </w:t>
      </w:r>
      <w:r>
        <w:rPr/>
        <w:t>and</w:t>
      </w:r>
      <w:r>
        <w:rPr>
          <w:spacing w:val="-6"/>
        </w:rPr>
        <w:t> </w:t>
      </w:r>
      <w:r>
        <w:rPr/>
        <w:t>Fall)</w:t>
      </w:r>
      <w:r>
        <w:rPr>
          <w:spacing w:val="-7"/>
        </w:rPr>
        <w:t> </w:t>
      </w:r>
      <w:r>
        <w:rPr/>
        <w:t>semesters.</w:t>
      </w:r>
      <w:r>
        <w:rPr>
          <w:spacing w:val="-6"/>
        </w:rPr>
        <w:t> </w:t>
      </w:r>
      <w:r>
        <w:rPr/>
        <w:t>The</w:t>
      </w:r>
      <w:r>
        <w:rPr>
          <w:spacing w:val="-6"/>
        </w:rPr>
        <w:t> </w:t>
      </w:r>
      <w:r>
        <w:rPr/>
        <w:t>advising</w:t>
      </w:r>
      <w:r>
        <w:rPr>
          <w:spacing w:val="-7"/>
        </w:rPr>
        <w:t> </w:t>
      </w:r>
      <w:r>
        <w:rPr/>
        <w:t>period</w:t>
      </w:r>
      <w:r>
        <w:rPr>
          <w:spacing w:val="-6"/>
        </w:rPr>
        <w:t> </w:t>
      </w:r>
      <w:r>
        <w:rPr/>
        <w:t>varies</w:t>
      </w:r>
      <w:r>
        <w:rPr>
          <w:spacing w:val="-6"/>
        </w:rPr>
        <w:t> </w:t>
      </w:r>
      <w:r>
        <w:rPr/>
        <w:t>but it is usually 10 to 15 days prior to the first day of registration for graduate students. Students who are not advised in a timely manner risk not being able to enroll in the courses they need for on-time graduation from the</w:t>
      </w:r>
      <w:r>
        <w:rPr>
          <w:spacing w:val="-1"/>
        </w:rPr>
        <w:t> </w:t>
      </w:r>
      <w:r>
        <w:rPr/>
        <w:t>MSW.</w:t>
      </w:r>
    </w:p>
    <w:p>
      <w:pPr>
        <w:pStyle w:val="BodyText"/>
        <w:spacing w:line="237" w:lineRule="auto" w:before="222"/>
        <w:ind w:left="863" w:right="447" w:firstLine="1"/>
      </w:pPr>
      <w:r>
        <w:rPr/>
        <w:t>Advising is an essential component of the MSW program. During the summer prior to enrollment in the program, the MSW program director or MSW admissions director advise all incoming students. In August, new students are assigned an adviser who follows them throughout the program. The academic advisor is a full-time member of the MSW faculty. Major responsibilities of the academic advisor are as follows:</w:t>
      </w:r>
    </w:p>
    <w:p>
      <w:pPr>
        <w:pStyle w:val="ListParagraph"/>
        <w:numPr>
          <w:ilvl w:val="0"/>
          <w:numId w:val="9"/>
        </w:numPr>
        <w:tabs>
          <w:tab w:pos="1583" w:val="left" w:leader="none"/>
          <w:tab w:pos="1584" w:val="left" w:leader="none"/>
        </w:tabs>
        <w:spacing w:line="303" w:lineRule="exact" w:before="0" w:after="0"/>
        <w:ind w:left="1585" w:right="0" w:hanging="362"/>
        <w:jc w:val="left"/>
        <w:rPr>
          <w:sz w:val="24"/>
        </w:rPr>
      </w:pPr>
      <w:r>
        <w:rPr>
          <w:sz w:val="24"/>
        </w:rPr>
        <w:t>Assist students in assessing their aptitude and suitability for a career in social work</w:t>
      </w:r>
      <w:r>
        <w:rPr>
          <w:spacing w:val="-29"/>
          <w:sz w:val="24"/>
        </w:rPr>
        <w:t> </w:t>
      </w:r>
      <w:r>
        <w:rPr>
          <w:sz w:val="24"/>
        </w:rPr>
        <w:t>practice;</w:t>
      </w:r>
    </w:p>
    <w:p>
      <w:pPr>
        <w:pStyle w:val="ListParagraph"/>
        <w:numPr>
          <w:ilvl w:val="0"/>
          <w:numId w:val="9"/>
        </w:numPr>
        <w:tabs>
          <w:tab w:pos="1583" w:val="left" w:leader="none"/>
          <w:tab w:pos="1584" w:val="left" w:leader="none"/>
        </w:tabs>
        <w:spacing w:line="304" w:lineRule="exact" w:before="0" w:after="0"/>
        <w:ind w:left="1585" w:right="0" w:hanging="362"/>
        <w:jc w:val="left"/>
        <w:rPr>
          <w:sz w:val="24"/>
        </w:rPr>
      </w:pPr>
      <w:r>
        <w:rPr>
          <w:sz w:val="24"/>
        </w:rPr>
        <w:t>Provide</w:t>
      </w:r>
      <w:r>
        <w:rPr>
          <w:spacing w:val="-8"/>
          <w:sz w:val="24"/>
        </w:rPr>
        <w:t> </w:t>
      </w:r>
      <w:r>
        <w:rPr>
          <w:sz w:val="24"/>
        </w:rPr>
        <w:t>students</w:t>
      </w:r>
      <w:r>
        <w:rPr>
          <w:spacing w:val="-8"/>
          <w:sz w:val="24"/>
        </w:rPr>
        <w:t> </w:t>
      </w:r>
      <w:r>
        <w:rPr>
          <w:sz w:val="24"/>
        </w:rPr>
        <w:t>with</w:t>
      </w:r>
      <w:r>
        <w:rPr>
          <w:spacing w:val="-7"/>
          <w:sz w:val="24"/>
        </w:rPr>
        <w:t> </w:t>
      </w:r>
      <w:r>
        <w:rPr>
          <w:sz w:val="24"/>
        </w:rPr>
        <w:t>specific</w:t>
      </w:r>
      <w:r>
        <w:rPr>
          <w:spacing w:val="-5"/>
          <w:sz w:val="24"/>
        </w:rPr>
        <w:t> </w:t>
      </w:r>
      <w:r>
        <w:rPr>
          <w:sz w:val="24"/>
        </w:rPr>
        <w:t>information</w:t>
      </w:r>
      <w:r>
        <w:rPr>
          <w:spacing w:val="-6"/>
          <w:sz w:val="24"/>
        </w:rPr>
        <w:t> </w:t>
      </w:r>
      <w:r>
        <w:rPr>
          <w:sz w:val="24"/>
        </w:rPr>
        <w:t>about</w:t>
      </w:r>
      <w:r>
        <w:rPr>
          <w:spacing w:val="-7"/>
          <w:sz w:val="24"/>
        </w:rPr>
        <w:t> </w:t>
      </w:r>
      <w:r>
        <w:rPr>
          <w:sz w:val="24"/>
        </w:rPr>
        <w:t>courses</w:t>
      </w:r>
      <w:r>
        <w:rPr>
          <w:spacing w:val="-8"/>
          <w:sz w:val="24"/>
        </w:rPr>
        <w:t> </w:t>
      </w:r>
      <w:r>
        <w:rPr>
          <w:sz w:val="24"/>
        </w:rPr>
        <w:t>and</w:t>
      </w:r>
      <w:r>
        <w:rPr>
          <w:spacing w:val="-8"/>
          <w:sz w:val="24"/>
        </w:rPr>
        <w:t> </w:t>
      </w:r>
      <w:r>
        <w:rPr>
          <w:sz w:val="24"/>
        </w:rPr>
        <w:t>program</w:t>
      </w:r>
      <w:r>
        <w:rPr>
          <w:spacing w:val="-5"/>
          <w:sz w:val="24"/>
        </w:rPr>
        <w:t> </w:t>
      </w:r>
      <w:r>
        <w:rPr>
          <w:sz w:val="24"/>
        </w:rPr>
        <w:t>requirements;</w:t>
      </w:r>
    </w:p>
    <w:p>
      <w:pPr>
        <w:pStyle w:val="ListParagraph"/>
        <w:numPr>
          <w:ilvl w:val="0"/>
          <w:numId w:val="9"/>
        </w:numPr>
        <w:tabs>
          <w:tab w:pos="1583" w:val="left" w:leader="none"/>
          <w:tab w:pos="1584" w:val="left" w:leader="none"/>
        </w:tabs>
        <w:spacing w:line="240" w:lineRule="auto" w:before="2" w:after="0"/>
        <w:ind w:left="1585" w:right="0" w:hanging="362"/>
        <w:jc w:val="left"/>
        <w:rPr>
          <w:sz w:val="24"/>
        </w:rPr>
      </w:pPr>
      <w:r>
        <w:rPr>
          <w:sz w:val="24"/>
        </w:rPr>
        <w:t>Provide the students with permits to register for</w:t>
      </w:r>
      <w:r>
        <w:rPr>
          <w:spacing w:val="-25"/>
          <w:sz w:val="24"/>
        </w:rPr>
        <w:t> </w:t>
      </w:r>
      <w:r>
        <w:rPr>
          <w:sz w:val="24"/>
        </w:rPr>
        <w:t>courses;</w:t>
      </w:r>
    </w:p>
    <w:p>
      <w:pPr>
        <w:pStyle w:val="ListParagraph"/>
        <w:numPr>
          <w:ilvl w:val="0"/>
          <w:numId w:val="9"/>
        </w:numPr>
        <w:tabs>
          <w:tab w:pos="1583" w:val="left" w:leader="none"/>
          <w:tab w:pos="1584" w:val="left" w:leader="none"/>
        </w:tabs>
        <w:spacing w:line="240" w:lineRule="auto" w:before="1" w:after="0"/>
        <w:ind w:left="1585" w:right="296" w:hanging="362"/>
        <w:jc w:val="left"/>
        <w:rPr>
          <w:sz w:val="24"/>
        </w:rPr>
      </w:pPr>
      <w:r>
        <w:rPr>
          <w:sz w:val="24"/>
        </w:rPr>
        <w:t>Advise on course planning in relation to the program’s course requirements and the student’s educational</w:t>
      </w:r>
      <w:r>
        <w:rPr>
          <w:spacing w:val="-11"/>
          <w:sz w:val="24"/>
        </w:rPr>
        <w:t> </w:t>
      </w:r>
      <w:r>
        <w:rPr>
          <w:sz w:val="24"/>
        </w:rPr>
        <w:t>needs;</w:t>
      </w:r>
    </w:p>
    <w:p>
      <w:pPr>
        <w:pStyle w:val="ListParagraph"/>
        <w:numPr>
          <w:ilvl w:val="0"/>
          <w:numId w:val="9"/>
        </w:numPr>
        <w:tabs>
          <w:tab w:pos="1583" w:val="left" w:leader="none"/>
          <w:tab w:pos="1584" w:val="left" w:leader="none"/>
        </w:tabs>
        <w:spacing w:line="302" w:lineRule="exact" w:before="0" w:after="0"/>
        <w:ind w:left="1584" w:right="0" w:hanging="361"/>
        <w:jc w:val="left"/>
        <w:rPr>
          <w:sz w:val="24"/>
        </w:rPr>
      </w:pPr>
      <w:r>
        <w:rPr>
          <w:sz w:val="24"/>
        </w:rPr>
        <w:t>Consult with students as they prepare for field</w:t>
      </w:r>
      <w:r>
        <w:rPr>
          <w:spacing w:val="-27"/>
          <w:sz w:val="24"/>
        </w:rPr>
        <w:t> </w:t>
      </w:r>
      <w:r>
        <w:rPr>
          <w:sz w:val="24"/>
        </w:rPr>
        <w:t>placement;</w:t>
      </w:r>
    </w:p>
    <w:p>
      <w:pPr>
        <w:pStyle w:val="ListParagraph"/>
        <w:numPr>
          <w:ilvl w:val="0"/>
          <w:numId w:val="9"/>
        </w:numPr>
        <w:tabs>
          <w:tab w:pos="1583" w:val="left" w:leader="none"/>
          <w:tab w:pos="1584" w:val="left" w:leader="none"/>
        </w:tabs>
        <w:spacing w:line="240" w:lineRule="auto" w:before="2" w:after="0"/>
        <w:ind w:left="1584" w:right="0" w:hanging="361"/>
        <w:jc w:val="left"/>
        <w:rPr>
          <w:sz w:val="24"/>
        </w:rPr>
      </w:pPr>
      <w:r>
        <w:rPr>
          <w:sz w:val="24"/>
        </w:rPr>
        <w:t>Assist students in evaluating their progress and performance in</w:t>
      </w:r>
      <w:r>
        <w:rPr>
          <w:spacing w:val="3"/>
          <w:sz w:val="24"/>
        </w:rPr>
        <w:t> </w:t>
      </w:r>
      <w:r>
        <w:rPr>
          <w:sz w:val="24"/>
        </w:rPr>
        <w:t>theprogram;</w:t>
      </w:r>
    </w:p>
    <w:p>
      <w:pPr>
        <w:pStyle w:val="ListParagraph"/>
        <w:numPr>
          <w:ilvl w:val="0"/>
          <w:numId w:val="9"/>
        </w:numPr>
        <w:tabs>
          <w:tab w:pos="1583" w:val="left" w:leader="none"/>
          <w:tab w:pos="1584" w:val="left" w:leader="none"/>
        </w:tabs>
        <w:spacing w:line="240" w:lineRule="auto" w:before="1" w:after="0"/>
        <w:ind w:left="1585" w:right="232" w:hanging="362"/>
        <w:jc w:val="left"/>
        <w:rPr>
          <w:sz w:val="24"/>
        </w:rPr>
      </w:pPr>
      <w:r>
        <w:rPr>
          <w:sz w:val="24"/>
        </w:rPr>
        <w:t>Advise students who experience class and field performance difficulties or other issues </w:t>
      </w:r>
      <w:r>
        <w:rPr>
          <w:spacing w:val="-3"/>
          <w:sz w:val="24"/>
        </w:rPr>
        <w:t>related </w:t>
      </w:r>
      <w:r>
        <w:rPr>
          <w:sz w:val="24"/>
        </w:rPr>
        <w:t>to their professional education;</w:t>
      </w:r>
      <w:r>
        <w:rPr>
          <w:spacing w:val="-15"/>
          <w:sz w:val="24"/>
        </w:rPr>
        <w:t> </w:t>
      </w:r>
      <w:r>
        <w:rPr>
          <w:sz w:val="24"/>
        </w:rPr>
        <w:t>and</w:t>
      </w:r>
    </w:p>
    <w:p>
      <w:pPr>
        <w:pStyle w:val="ListParagraph"/>
        <w:numPr>
          <w:ilvl w:val="0"/>
          <w:numId w:val="9"/>
        </w:numPr>
        <w:tabs>
          <w:tab w:pos="1583" w:val="left" w:leader="none"/>
          <w:tab w:pos="1584" w:val="left" w:leader="none"/>
        </w:tabs>
        <w:spacing w:line="302" w:lineRule="exact" w:before="0" w:after="0"/>
        <w:ind w:left="1584" w:right="0" w:hanging="361"/>
        <w:jc w:val="left"/>
        <w:rPr>
          <w:sz w:val="24"/>
        </w:rPr>
      </w:pPr>
      <w:r>
        <w:rPr>
          <w:sz w:val="24"/>
        </w:rPr>
        <w:t>Serve as a mentor to students as they enter the profession of social</w:t>
      </w:r>
      <w:r>
        <w:rPr>
          <w:spacing w:val="-25"/>
          <w:sz w:val="24"/>
        </w:rPr>
        <w:t> </w:t>
      </w:r>
      <w:r>
        <w:rPr>
          <w:sz w:val="24"/>
        </w:rPr>
        <w:t>work.</w:t>
      </w:r>
    </w:p>
    <w:p>
      <w:pPr>
        <w:pStyle w:val="BodyText"/>
        <w:spacing w:before="7"/>
        <w:rPr>
          <w:sz w:val="23"/>
        </w:rPr>
      </w:pPr>
    </w:p>
    <w:p>
      <w:pPr>
        <w:pStyle w:val="BodyText"/>
        <w:ind w:left="863" w:right="235"/>
      </w:pPr>
      <w:r>
        <w:rPr/>
        <w:t>Advisors will provide students with a program of study worksheet which includes a tentative schedule of courses that they intend to take during their MSW program. This tentative program of study may be reviewed and revised as needed. Students may also find recommended programs of study in the student handbook above and on the program website: </w:t>
      </w:r>
      <w:hyperlink r:id="rId18">
        <w:r>
          <w:rPr>
            <w:color w:val="0000FF"/>
            <w:u w:val="single" w:color="0000FF"/>
          </w:rPr>
          <w:t>http://www.memphis.edu/socialwork/graduate/program-study-plans.php.</w:t>
        </w:r>
      </w:hyperlink>
    </w:p>
    <w:p>
      <w:pPr>
        <w:pStyle w:val="BodyText"/>
        <w:spacing w:before="240"/>
        <w:ind w:left="863" w:right="213"/>
        <w:jc w:val="both"/>
      </w:pPr>
      <w:r>
        <w:rPr/>
        <w:t>It</w:t>
      </w:r>
      <w:r>
        <w:rPr>
          <w:spacing w:val="-15"/>
        </w:rPr>
        <w:t> </w:t>
      </w:r>
      <w:r>
        <w:rPr/>
        <w:t>is</w:t>
      </w:r>
      <w:r>
        <w:rPr>
          <w:spacing w:val="-15"/>
        </w:rPr>
        <w:t> </w:t>
      </w:r>
      <w:r>
        <w:rPr/>
        <w:t>the</w:t>
      </w:r>
      <w:r>
        <w:rPr>
          <w:spacing w:val="-14"/>
        </w:rPr>
        <w:t> </w:t>
      </w:r>
      <w:r>
        <w:rPr/>
        <w:t>student’s</w:t>
      </w:r>
      <w:r>
        <w:rPr>
          <w:spacing w:val="-15"/>
        </w:rPr>
        <w:t> </w:t>
      </w:r>
      <w:r>
        <w:rPr/>
        <w:t>responsibility</w:t>
      </w:r>
      <w:r>
        <w:rPr>
          <w:spacing w:val="-14"/>
        </w:rPr>
        <w:t> </w:t>
      </w:r>
      <w:r>
        <w:rPr/>
        <w:t>to</w:t>
      </w:r>
      <w:r>
        <w:rPr>
          <w:spacing w:val="-15"/>
        </w:rPr>
        <w:t> </w:t>
      </w:r>
      <w:r>
        <w:rPr/>
        <w:t>schedule</w:t>
      </w:r>
      <w:r>
        <w:rPr>
          <w:spacing w:val="-14"/>
        </w:rPr>
        <w:t> </w:t>
      </w:r>
      <w:r>
        <w:rPr/>
        <w:t>an</w:t>
      </w:r>
      <w:r>
        <w:rPr>
          <w:spacing w:val="-15"/>
        </w:rPr>
        <w:t> </w:t>
      </w:r>
      <w:r>
        <w:rPr/>
        <w:t>appointment</w:t>
      </w:r>
      <w:r>
        <w:rPr>
          <w:spacing w:val="-14"/>
        </w:rPr>
        <w:t> </w:t>
      </w:r>
      <w:r>
        <w:rPr/>
        <w:t>with</w:t>
      </w:r>
      <w:r>
        <w:rPr>
          <w:spacing w:val="-15"/>
        </w:rPr>
        <w:t> </w:t>
      </w:r>
      <w:r>
        <w:rPr/>
        <w:t>the</w:t>
      </w:r>
      <w:r>
        <w:rPr>
          <w:spacing w:val="-14"/>
        </w:rPr>
        <w:t> </w:t>
      </w:r>
      <w:r>
        <w:rPr/>
        <w:t>advisor</w:t>
      </w:r>
      <w:r>
        <w:rPr>
          <w:spacing w:val="-15"/>
        </w:rPr>
        <w:t> </w:t>
      </w:r>
      <w:r>
        <w:rPr/>
        <w:t>each</w:t>
      </w:r>
      <w:r>
        <w:rPr>
          <w:spacing w:val="-14"/>
        </w:rPr>
        <w:t> </w:t>
      </w:r>
      <w:r>
        <w:rPr/>
        <w:t>semester</w:t>
      </w:r>
      <w:r>
        <w:rPr>
          <w:spacing w:val="-15"/>
        </w:rPr>
        <w:t> </w:t>
      </w:r>
      <w:r>
        <w:rPr/>
        <w:t>that</w:t>
      </w:r>
      <w:r>
        <w:rPr>
          <w:spacing w:val="-14"/>
        </w:rPr>
        <w:t> </w:t>
      </w:r>
      <w:r>
        <w:rPr/>
        <w:t>he/she is in the program. If a student decides to change his/her program of study, it is the student’s responsibility to notify the</w:t>
      </w:r>
      <w:r>
        <w:rPr>
          <w:spacing w:val="-2"/>
        </w:rPr>
        <w:t> </w:t>
      </w:r>
      <w:r>
        <w:rPr/>
        <w:t>advisor.</w:t>
      </w:r>
    </w:p>
    <w:p>
      <w:pPr>
        <w:pStyle w:val="BodyText"/>
        <w:rPr>
          <w:sz w:val="28"/>
        </w:rPr>
      </w:pPr>
    </w:p>
    <w:p>
      <w:pPr>
        <w:pStyle w:val="BodyText"/>
        <w:spacing w:before="3"/>
        <w:rPr>
          <w:sz w:val="35"/>
        </w:rPr>
      </w:pPr>
    </w:p>
    <w:p>
      <w:pPr>
        <w:pStyle w:val="Heading2"/>
        <w:ind w:left="863"/>
      </w:pPr>
      <w:r>
        <w:rPr>
          <w:color w:val="1F497C"/>
        </w:rPr>
        <w:t>ADDING AND DROPPING COURSES</w:t>
      </w:r>
    </w:p>
    <w:p>
      <w:pPr>
        <w:pStyle w:val="BodyText"/>
        <w:spacing w:before="9"/>
        <w:rPr>
          <w:b/>
          <w:sz w:val="22"/>
        </w:rPr>
      </w:pPr>
    </w:p>
    <w:p>
      <w:pPr>
        <w:pStyle w:val="BodyText"/>
        <w:ind w:left="863" w:right="214"/>
        <w:jc w:val="both"/>
      </w:pPr>
      <w:r>
        <w:rPr/>
        <w:t>Courses</w:t>
      </w:r>
      <w:r>
        <w:rPr>
          <w:spacing w:val="-5"/>
        </w:rPr>
        <w:t> </w:t>
      </w:r>
      <w:r>
        <w:rPr/>
        <w:t>may</w:t>
      </w:r>
      <w:r>
        <w:rPr>
          <w:spacing w:val="-5"/>
        </w:rPr>
        <w:t> </w:t>
      </w:r>
      <w:r>
        <w:rPr/>
        <w:t>be</w:t>
      </w:r>
      <w:r>
        <w:rPr>
          <w:spacing w:val="-4"/>
        </w:rPr>
        <w:t> </w:t>
      </w:r>
      <w:r>
        <w:rPr/>
        <w:t>added</w:t>
      </w:r>
      <w:r>
        <w:rPr>
          <w:spacing w:val="-5"/>
        </w:rPr>
        <w:t> </w:t>
      </w:r>
      <w:r>
        <w:rPr/>
        <w:t>or</w:t>
      </w:r>
      <w:r>
        <w:rPr>
          <w:spacing w:val="-4"/>
        </w:rPr>
        <w:t> </w:t>
      </w:r>
      <w:r>
        <w:rPr/>
        <w:t>dropped</w:t>
      </w:r>
      <w:r>
        <w:rPr>
          <w:spacing w:val="-5"/>
        </w:rPr>
        <w:t> </w:t>
      </w:r>
      <w:r>
        <w:rPr/>
        <w:t>after</w:t>
      </w:r>
      <w:r>
        <w:rPr>
          <w:spacing w:val="-4"/>
        </w:rPr>
        <w:t> </w:t>
      </w:r>
      <w:r>
        <w:rPr/>
        <w:t>initial</w:t>
      </w:r>
      <w:r>
        <w:rPr>
          <w:spacing w:val="-4"/>
        </w:rPr>
        <w:t> </w:t>
      </w:r>
      <w:r>
        <w:rPr/>
        <w:t>registration</w:t>
      </w:r>
      <w:r>
        <w:rPr>
          <w:spacing w:val="-5"/>
        </w:rPr>
        <w:t> </w:t>
      </w:r>
      <w:r>
        <w:rPr/>
        <w:t>for</w:t>
      </w:r>
      <w:r>
        <w:rPr>
          <w:spacing w:val="-4"/>
        </w:rPr>
        <w:t> </w:t>
      </w:r>
      <w:r>
        <w:rPr/>
        <w:t>a</w:t>
      </w:r>
      <w:r>
        <w:rPr>
          <w:spacing w:val="-5"/>
        </w:rPr>
        <w:t> </w:t>
      </w:r>
      <w:r>
        <w:rPr/>
        <w:t>limited</w:t>
      </w:r>
      <w:r>
        <w:rPr>
          <w:spacing w:val="-4"/>
        </w:rPr>
        <w:t> </w:t>
      </w:r>
      <w:r>
        <w:rPr/>
        <w:t>time</w:t>
      </w:r>
      <w:r>
        <w:rPr>
          <w:spacing w:val="-5"/>
        </w:rPr>
        <w:t> </w:t>
      </w:r>
      <w:r>
        <w:rPr/>
        <w:t>only.</w:t>
      </w:r>
      <w:r>
        <w:rPr>
          <w:spacing w:val="-4"/>
        </w:rPr>
        <w:t> </w:t>
      </w:r>
      <w:r>
        <w:rPr/>
        <w:t>Refer</w:t>
      </w:r>
      <w:r>
        <w:rPr>
          <w:spacing w:val="-5"/>
        </w:rPr>
        <w:t> </w:t>
      </w:r>
      <w:r>
        <w:rPr/>
        <w:t>to</w:t>
      </w:r>
      <w:r>
        <w:rPr>
          <w:spacing w:val="-4"/>
        </w:rPr>
        <w:t> </w:t>
      </w:r>
      <w:r>
        <w:rPr/>
        <w:t>the</w:t>
      </w:r>
      <w:r>
        <w:rPr>
          <w:spacing w:val="-4"/>
        </w:rPr>
        <w:t> </w:t>
      </w:r>
      <w:r>
        <w:rPr/>
        <w:t>Student Calendar</w:t>
      </w:r>
      <w:r>
        <w:rPr>
          <w:spacing w:val="-9"/>
        </w:rPr>
        <w:t> </w:t>
      </w:r>
      <w:r>
        <w:rPr/>
        <w:t>at</w:t>
      </w:r>
      <w:r>
        <w:rPr>
          <w:spacing w:val="-8"/>
        </w:rPr>
        <w:t> </w:t>
      </w:r>
      <w:hyperlink r:id="rId19">
        <w:r>
          <w:rPr>
            <w:color w:val="0000FF"/>
            <w:u w:val="single" w:color="0000FF"/>
          </w:rPr>
          <w:t>http://www.memphis.edu/registrar/calendars/</w:t>
        </w:r>
        <w:r>
          <w:rPr>
            <w:color w:val="0000FF"/>
            <w:spacing w:val="-3"/>
          </w:rPr>
          <w:t> </w:t>
        </w:r>
      </w:hyperlink>
      <w:r>
        <w:rPr/>
        <w:t>for</w:t>
      </w:r>
      <w:r>
        <w:rPr>
          <w:spacing w:val="-8"/>
        </w:rPr>
        <w:t> </w:t>
      </w:r>
      <w:r>
        <w:rPr/>
        <w:t>appropriate</w:t>
      </w:r>
      <w:r>
        <w:rPr>
          <w:spacing w:val="-8"/>
        </w:rPr>
        <w:t> </w:t>
      </w:r>
      <w:r>
        <w:rPr/>
        <w:t>deadlines.</w:t>
      </w:r>
      <w:r>
        <w:rPr>
          <w:spacing w:val="-8"/>
        </w:rPr>
        <w:t> </w:t>
      </w:r>
      <w:r>
        <w:rPr/>
        <w:t>Courses</w:t>
      </w:r>
      <w:r>
        <w:rPr>
          <w:spacing w:val="-8"/>
        </w:rPr>
        <w:t> </w:t>
      </w:r>
      <w:r>
        <w:rPr/>
        <w:t>may</w:t>
      </w:r>
      <w:r>
        <w:rPr>
          <w:spacing w:val="-8"/>
        </w:rPr>
        <w:t> </w:t>
      </w:r>
      <w:r>
        <w:rPr/>
        <w:t>be added late only upon approval of the instructor and the director of graduate studies in the student's college.</w:t>
      </w:r>
    </w:p>
    <w:p>
      <w:pPr>
        <w:spacing w:after="0"/>
        <w:jc w:val="both"/>
        <w:sectPr>
          <w:pgSz w:w="12240" w:h="15840"/>
          <w:pgMar w:header="0" w:footer="992" w:top="1380" w:bottom="1180" w:left="300" w:right="920"/>
        </w:sectPr>
      </w:pPr>
    </w:p>
    <w:p>
      <w:pPr>
        <w:pStyle w:val="BodyText"/>
        <w:rPr>
          <w:sz w:val="10"/>
        </w:rPr>
      </w:pPr>
    </w:p>
    <w:p>
      <w:pPr>
        <w:pStyle w:val="BodyText"/>
        <w:spacing w:before="100"/>
        <w:ind w:left="863" w:right="212"/>
        <w:jc w:val="both"/>
      </w:pPr>
      <w:r>
        <w:rPr/>
        <w:t>Courses may be dropped after the drop date only when circumstances beyond the student's control make it impossible to complete the semester. Late drops must be approved by the director of graduate studies in the student's college. Students enrolled on a non-degree basis must obtain the approval of the Vice Provost for Graduate Studies or designee in order to withdraw from a course. VA benefits and Title IV funds for enrollment fees are subject to cancellation and immediate repayment if the recipient stops attending, whether or not he/she has dropped acourse.</w:t>
      </w:r>
    </w:p>
    <w:p>
      <w:pPr>
        <w:pStyle w:val="BodyText"/>
        <w:rPr>
          <w:sz w:val="28"/>
        </w:rPr>
      </w:pPr>
    </w:p>
    <w:p>
      <w:pPr>
        <w:pStyle w:val="Heading2"/>
        <w:spacing w:before="175"/>
        <w:jc w:val="both"/>
      </w:pPr>
      <w:r>
        <w:rPr>
          <w:color w:val="1F497C"/>
        </w:rPr>
        <w:t>TRANSFER CREDITS</w:t>
      </w:r>
    </w:p>
    <w:p>
      <w:pPr>
        <w:pStyle w:val="BodyText"/>
        <w:spacing w:before="240"/>
        <w:ind w:left="865" w:right="213"/>
        <w:jc w:val="both"/>
      </w:pPr>
      <w:r>
        <w:rPr/>
        <w:t>Up to twenty-four hours of transfer credits may be used to meet the requirements of the Master of Social Work program. A student seeking to transfer courses must provide his/her advisor with 1) a transcript demonstrating that the course was completed with a grade of B or better and 2) a syllabus from the semester during which the course was taken. Only graduate level courses can be approved for transfer credit.</w:t>
      </w:r>
    </w:p>
    <w:p>
      <w:pPr>
        <w:pStyle w:val="BodyText"/>
        <w:spacing w:before="239"/>
        <w:ind w:left="865" w:right="212"/>
        <w:jc w:val="both"/>
      </w:pPr>
      <w:r>
        <w:rPr/>
        <w:t>Transfer credits that are to be used to replace required generalist courses in practice, SW Across the Lifespan, psychopathology or field must be from an accredited or candidacy Master of Social Work program. Transfer credits used to replace generalist policy (SWRK 7030) or research (SWRK 7025) can be from social or behavioral science courses outside of social work. Students seeking to replace required courses with transfer courses must provide written product(s) which demonstrate that </w:t>
      </w:r>
      <w:r>
        <w:rPr>
          <w:b/>
        </w:rPr>
        <w:t>all </w:t>
      </w:r>
      <w:r>
        <w:rPr/>
        <w:t>required</w:t>
      </w:r>
      <w:r>
        <w:rPr>
          <w:spacing w:val="-11"/>
        </w:rPr>
        <w:t> </w:t>
      </w:r>
      <w:r>
        <w:rPr/>
        <w:t>competencies</w:t>
      </w:r>
      <w:r>
        <w:rPr>
          <w:spacing w:val="-10"/>
        </w:rPr>
        <w:t> </w:t>
      </w:r>
      <w:r>
        <w:rPr/>
        <w:t>for</w:t>
      </w:r>
      <w:r>
        <w:rPr>
          <w:spacing w:val="-11"/>
        </w:rPr>
        <w:t> </w:t>
      </w:r>
      <w:r>
        <w:rPr/>
        <w:t>the</w:t>
      </w:r>
      <w:r>
        <w:rPr>
          <w:spacing w:val="-10"/>
        </w:rPr>
        <w:t> </w:t>
      </w:r>
      <w:r>
        <w:rPr/>
        <w:t>replaced</w:t>
      </w:r>
      <w:r>
        <w:rPr>
          <w:spacing w:val="-11"/>
        </w:rPr>
        <w:t> </w:t>
      </w:r>
      <w:r>
        <w:rPr/>
        <w:t>course</w:t>
      </w:r>
      <w:r>
        <w:rPr>
          <w:spacing w:val="-10"/>
        </w:rPr>
        <w:t> </w:t>
      </w:r>
      <w:r>
        <w:rPr/>
        <w:t>have</w:t>
      </w:r>
      <w:r>
        <w:rPr>
          <w:spacing w:val="-11"/>
        </w:rPr>
        <w:t> </w:t>
      </w:r>
      <w:r>
        <w:rPr/>
        <w:t>been</w:t>
      </w:r>
      <w:r>
        <w:rPr>
          <w:spacing w:val="-10"/>
        </w:rPr>
        <w:t> </w:t>
      </w:r>
      <w:r>
        <w:rPr/>
        <w:t>met.</w:t>
      </w:r>
      <w:r>
        <w:rPr>
          <w:spacing w:val="-11"/>
        </w:rPr>
        <w:t> </w:t>
      </w:r>
      <w:r>
        <w:rPr/>
        <w:t>If</w:t>
      </w:r>
      <w:r>
        <w:rPr>
          <w:spacing w:val="-10"/>
        </w:rPr>
        <w:t> </w:t>
      </w:r>
      <w:r>
        <w:rPr/>
        <w:t>the</w:t>
      </w:r>
      <w:r>
        <w:rPr>
          <w:spacing w:val="-11"/>
        </w:rPr>
        <w:t> </w:t>
      </w:r>
      <w:r>
        <w:rPr/>
        <w:t>student</w:t>
      </w:r>
      <w:r>
        <w:rPr>
          <w:spacing w:val="-10"/>
        </w:rPr>
        <w:t> </w:t>
      </w:r>
      <w:r>
        <w:rPr/>
        <w:t>has</w:t>
      </w:r>
      <w:r>
        <w:rPr>
          <w:spacing w:val="-10"/>
        </w:rPr>
        <w:t> </w:t>
      </w:r>
      <w:r>
        <w:rPr/>
        <w:t>kept</w:t>
      </w:r>
      <w:r>
        <w:rPr>
          <w:spacing w:val="-11"/>
        </w:rPr>
        <w:t> </w:t>
      </w:r>
      <w:r>
        <w:rPr/>
        <w:t>papers,</w:t>
      </w:r>
      <w:r>
        <w:rPr>
          <w:spacing w:val="-10"/>
        </w:rPr>
        <w:t> </w:t>
      </w:r>
      <w:r>
        <w:rPr/>
        <w:t>projects, assignments, or final exams from the class, these may be used as the written products. Students who cannot bring in class assignments may write a summary statement detailing how each course competency was completed in the prior</w:t>
      </w:r>
      <w:r>
        <w:rPr>
          <w:spacing w:val="-1"/>
        </w:rPr>
        <w:t> </w:t>
      </w:r>
      <w:r>
        <w:rPr/>
        <w:t>course.</w:t>
      </w:r>
    </w:p>
    <w:p>
      <w:pPr>
        <w:pStyle w:val="BodyText"/>
        <w:spacing w:before="239"/>
        <w:ind w:left="863" w:right="212"/>
        <w:jc w:val="both"/>
      </w:pPr>
      <w:r>
        <w:rPr/>
        <w:t>Transfer</w:t>
      </w:r>
      <w:r>
        <w:rPr>
          <w:spacing w:val="-5"/>
        </w:rPr>
        <w:t> </w:t>
      </w:r>
      <w:r>
        <w:rPr/>
        <w:t>credits</w:t>
      </w:r>
      <w:r>
        <w:rPr>
          <w:spacing w:val="-4"/>
        </w:rPr>
        <w:t> </w:t>
      </w:r>
      <w:r>
        <w:rPr/>
        <w:t>that</w:t>
      </w:r>
      <w:r>
        <w:rPr>
          <w:spacing w:val="-5"/>
        </w:rPr>
        <w:t> </w:t>
      </w:r>
      <w:r>
        <w:rPr/>
        <w:t>are</w:t>
      </w:r>
      <w:r>
        <w:rPr>
          <w:spacing w:val="-4"/>
        </w:rPr>
        <w:t> </w:t>
      </w:r>
      <w:r>
        <w:rPr/>
        <w:t>used</w:t>
      </w:r>
      <w:r>
        <w:rPr>
          <w:spacing w:val="-5"/>
        </w:rPr>
        <w:t> </w:t>
      </w:r>
      <w:r>
        <w:rPr/>
        <w:t>to</w:t>
      </w:r>
      <w:r>
        <w:rPr>
          <w:spacing w:val="-4"/>
        </w:rPr>
        <w:t> </w:t>
      </w:r>
      <w:r>
        <w:rPr/>
        <w:t>replace</w:t>
      </w:r>
      <w:r>
        <w:rPr>
          <w:spacing w:val="-5"/>
        </w:rPr>
        <w:t> </w:t>
      </w:r>
      <w:r>
        <w:rPr/>
        <w:t>elective</w:t>
      </w:r>
      <w:r>
        <w:rPr>
          <w:spacing w:val="-4"/>
        </w:rPr>
        <w:t> </w:t>
      </w:r>
      <w:r>
        <w:rPr/>
        <w:t>hours</w:t>
      </w:r>
      <w:r>
        <w:rPr>
          <w:spacing w:val="-5"/>
        </w:rPr>
        <w:t> </w:t>
      </w:r>
      <w:r>
        <w:rPr/>
        <w:t>can</w:t>
      </w:r>
      <w:r>
        <w:rPr>
          <w:spacing w:val="-4"/>
        </w:rPr>
        <w:t> </w:t>
      </w:r>
      <w:r>
        <w:rPr/>
        <w:t>be</w:t>
      </w:r>
      <w:r>
        <w:rPr>
          <w:spacing w:val="-5"/>
        </w:rPr>
        <w:t> </w:t>
      </w:r>
      <w:r>
        <w:rPr/>
        <w:t>taken</w:t>
      </w:r>
      <w:r>
        <w:rPr>
          <w:spacing w:val="-4"/>
        </w:rPr>
        <w:t> </w:t>
      </w:r>
      <w:r>
        <w:rPr/>
        <w:t>in</w:t>
      </w:r>
      <w:r>
        <w:rPr>
          <w:spacing w:val="-5"/>
        </w:rPr>
        <w:t> </w:t>
      </w:r>
      <w:r>
        <w:rPr/>
        <w:t>social</w:t>
      </w:r>
      <w:r>
        <w:rPr>
          <w:spacing w:val="-4"/>
        </w:rPr>
        <w:t> </w:t>
      </w:r>
      <w:r>
        <w:rPr/>
        <w:t>work</w:t>
      </w:r>
      <w:r>
        <w:rPr>
          <w:spacing w:val="-4"/>
        </w:rPr>
        <w:t> </w:t>
      </w:r>
      <w:r>
        <w:rPr/>
        <w:t>or</w:t>
      </w:r>
      <w:r>
        <w:rPr>
          <w:spacing w:val="-5"/>
        </w:rPr>
        <w:t> </w:t>
      </w:r>
      <w:r>
        <w:rPr/>
        <w:t>any</w:t>
      </w:r>
      <w:r>
        <w:rPr>
          <w:spacing w:val="-4"/>
        </w:rPr>
        <w:t> </w:t>
      </w:r>
      <w:r>
        <w:rPr/>
        <w:t>field</w:t>
      </w:r>
      <w:r>
        <w:rPr>
          <w:spacing w:val="-5"/>
        </w:rPr>
        <w:t> </w:t>
      </w:r>
      <w:r>
        <w:rPr/>
        <w:t>of</w:t>
      </w:r>
      <w:r>
        <w:rPr>
          <w:spacing w:val="-4"/>
        </w:rPr>
        <w:t> </w:t>
      </w:r>
      <w:r>
        <w:rPr/>
        <w:t>study related to social work. The student’s advisor and the MSW program director will review and approve the student’s request for transfer of elective</w:t>
      </w:r>
      <w:r>
        <w:rPr>
          <w:spacing w:val="-1"/>
        </w:rPr>
        <w:t> </w:t>
      </w:r>
      <w:r>
        <w:rPr/>
        <w:t>hours.</w:t>
      </w:r>
    </w:p>
    <w:p>
      <w:pPr>
        <w:pStyle w:val="BodyText"/>
        <w:spacing w:before="239"/>
        <w:ind w:left="865" w:right="216"/>
        <w:jc w:val="both"/>
      </w:pPr>
      <w:r>
        <w:rPr/>
        <w:t>All</w:t>
      </w:r>
      <w:r>
        <w:rPr>
          <w:spacing w:val="-7"/>
        </w:rPr>
        <w:t> </w:t>
      </w:r>
      <w:r>
        <w:rPr/>
        <w:t>transfer</w:t>
      </w:r>
      <w:r>
        <w:rPr>
          <w:spacing w:val="-7"/>
        </w:rPr>
        <w:t> </w:t>
      </w:r>
      <w:r>
        <w:rPr/>
        <w:t>credits</w:t>
      </w:r>
      <w:r>
        <w:rPr>
          <w:spacing w:val="-6"/>
        </w:rPr>
        <w:t> </w:t>
      </w:r>
      <w:r>
        <w:rPr/>
        <w:t>must</w:t>
      </w:r>
      <w:r>
        <w:rPr>
          <w:spacing w:val="-7"/>
        </w:rPr>
        <w:t> </w:t>
      </w:r>
      <w:r>
        <w:rPr/>
        <w:t>come</w:t>
      </w:r>
      <w:r>
        <w:rPr>
          <w:spacing w:val="-6"/>
        </w:rPr>
        <w:t> </w:t>
      </w:r>
      <w:r>
        <w:rPr/>
        <w:t>from</w:t>
      </w:r>
      <w:r>
        <w:rPr>
          <w:spacing w:val="-7"/>
        </w:rPr>
        <w:t> </w:t>
      </w:r>
      <w:r>
        <w:rPr/>
        <w:t>an</w:t>
      </w:r>
      <w:r>
        <w:rPr>
          <w:spacing w:val="-6"/>
        </w:rPr>
        <w:t> </w:t>
      </w:r>
      <w:r>
        <w:rPr/>
        <w:t>accredited</w:t>
      </w:r>
      <w:r>
        <w:rPr>
          <w:spacing w:val="-6"/>
        </w:rPr>
        <w:t> </w:t>
      </w:r>
      <w:r>
        <w:rPr/>
        <w:t>college</w:t>
      </w:r>
      <w:r>
        <w:rPr>
          <w:spacing w:val="-7"/>
        </w:rPr>
        <w:t> </w:t>
      </w:r>
      <w:r>
        <w:rPr/>
        <w:t>or</w:t>
      </w:r>
      <w:r>
        <w:rPr>
          <w:spacing w:val="-6"/>
        </w:rPr>
        <w:t> </w:t>
      </w:r>
      <w:r>
        <w:rPr/>
        <w:t>university.</w:t>
      </w:r>
      <w:r>
        <w:rPr>
          <w:spacing w:val="-7"/>
        </w:rPr>
        <w:t> </w:t>
      </w:r>
      <w:r>
        <w:rPr/>
        <w:t>Transfer</w:t>
      </w:r>
      <w:r>
        <w:rPr>
          <w:spacing w:val="-6"/>
        </w:rPr>
        <w:t> </w:t>
      </w:r>
      <w:r>
        <w:rPr/>
        <w:t>credit</w:t>
      </w:r>
      <w:r>
        <w:rPr>
          <w:spacing w:val="-7"/>
        </w:rPr>
        <w:t> </w:t>
      </w:r>
      <w:r>
        <w:rPr/>
        <w:t>cannot</w:t>
      </w:r>
      <w:r>
        <w:rPr>
          <w:spacing w:val="-7"/>
        </w:rPr>
        <w:t> </w:t>
      </w:r>
      <w:r>
        <w:rPr/>
        <w:t>be</w:t>
      </w:r>
      <w:r>
        <w:rPr>
          <w:spacing w:val="-6"/>
        </w:rPr>
        <w:t> </w:t>
      </w:r>
      <w:r>
        <w:rPr/>
        <w:t>given for continuing education, work experience, or life</w:t>
      </w:r>
      <w:r>
        <w:rPr>
          <w:spacing w:val="-1"/>
        </w:rPr>
        <w:t> </w:t>
      </w:r>
      <w:r>
        <w:rPr/>
        <w:t>experience.</w:t>
      </w:r>
    </w:p>
    <w:p>
      <w:pPr>
        <w:pStyle w:val="BodyText"/>
        <w:rPr>
          <w:sz w:val="28"/>
        </w:rPr>
      </w:pPr>
    </w:p>
    <w:p>
      <w:pPr>
        <w:pStyle w:val="BodyText"/>
        <w:spacing w:before="3"/>
        <w:rPr>
          <w:sz w:val="35"/>
        </w:rPr>
      </w:pPr>
    </w:p>
    <w:p>
      <w:pPr>
        <w:pStyle w:val="Heading2"/>
        <w:spacing w:before="1"/>
        <w:ind w:left="863"/>
        <w:jc w:val="both"/>
      </w:pPr>
      <w:r>
        <w:rPr>
          <w:color w:val="1F497C"/>
        </w:rPr>
        <w:t>CREDIT BY EXAM</w:t>
      </w:r>
    </w:p>
    <w:p>
      <w:pPr>
        <w:pStyle w:val="BodyText"/>
        <w:spacing w:before="240"/>
        <w:ind w:left="865" w:right="214"/>
        <w:jc w:val="both"/>
      </w:pPr>
      <w:r>
        <w:rPr/>
        <w:t>Students who believe that they have completed course content in prior graduate or undergraduate courses may seek credit by exam. Credit by exam will only be given for the following courses: SWRK 7001, SWRK 7002, SWRK 7003, SWRK 7005, SWRK 7021, SWRK 7022, SWRK 7025, and SWRK 7030.</w:t>
      </w:r>
    </w:p>
    <w:p>
      <w:pPr>
        <w:pStyle w:val="BodyText"/>
        <w:ind w:left="863" w:right="213"/>
        <w:jc w:val="both"/>
      </w:pPr>
      <w:r>
        <w:rPr/>
        <w:t>No more than nine credit hours may be granted by exam. Students who want credit by exam are responsible for obtaining the appropriate graduate school form and obtaining the signatures of their advisor, director of the MSW program, and chair of the School of Social Work.</w:t>
      </w:r>
    </w:p>
    <w:p>
      <w:pPr>
        <w:spacing w:after="0"/>
        <w:jc w:val="both"/>
        <w:sectPr>
          <w:pgSz w:w="12240" w:h="15840"/>
          <w:pgMar w:header="0" w:footer="992" w:top="1500" w:bottom="1180" w:left="300" w:right="920"/>
        </w:sectPr>
      </w:pPr>
    </w:p>
    <w:p>
      <w:pPr>
        <w:pStyle w:val="BodyText"/>
        <w:spacing w:line="247" w:lineRule="auto" w:before="73"/>
        <w:ind w:left="865" w:right="215"/>
      </w:pPr>
      <w:r>
        <w:rPr/>
        <w:t>Testing out of a social work course is a two-step process. Students must 1.) Complete the final exam for the course with a grade of 80% or better and 2.) Write a summary statement explaining</w:t>
      </w:r>
      <w:r>
        <w:rPr>
          <w:spacing w:val="-30"/>
        </w:rPr>
        <w:t> </w:t>
      </w:r>
      <w:r>
        <w:rPr/>
        <w:t>how every course competency has been met through prior coursework. Internship  experience  can  be described in prior coursework but not work experience. Credit by exam is not given for life experience or for prior paid work</w:t>
      </w:r>
      <w:r>
        <w:rPr>
          <w:spacing w:val="-17"/>
        </w:rPr>
        <w:t> </w:t>
      </w:r>
      <w:r>
        <w:rPr/>
        <w:t>experience.</w:t>
      </w:r>
    </w:p>
    <w:p>
      <w:pPr>
        <w:pStyle w:val="BodyText"/>
        <w:rPr>
          <w:sz w:val="28"/>
        </w:rPr>
      </w:pPr>
    </w:p>
    <w:p>
      <w:pPr>
        <w:pStyle w:val="BodyText"/>
        <w:spacing w:before="4"/>
        <w:rPr>
          <w:sz w:val="27"/>
        </w:rPr>
      </w:pPr>
    </w:p>
    <w:p>
      <w:pPr>
        <w:pStyle w:val="Heading2"/>
      </w:pPr>
      <w:r>
        <w:rPr>
          <w:color w:val="1F497C"/>
        </w:rPr>
        <w:t>WORK/LIFE EXPERIENCE</w:t>
      </w:r>
    </w:p>
    <w:p>
      <w:pPr>
        <w:pStyle w:val="BodyText"/>
        <w:spacing w:before="11"/>
        <w:rPr>
          <w:b/>
          <w:sz w:val="23"/>
        </w:rPr>
      </w:pPr>
    </w:p>
    <w:p>
      <w:pPr>
        <w:pStyle w:val="BodyText"/>
        <w:spacing w:before="1"/>
        <w:ind w:left="865" w:right="212"/>
        <w:jc w:val="both"/>
      </w:pPr>
      <w:r>
        <w:rPr/>
        <w:t>The University of Memphis Master of Social Work program does NOT give credit for prior life experience or for prior work experience. In addition, credit may not be given for continuing education hours. This University of Memphis MSW program follows this policy strictly to be in compliance with Council on Social Work Education (CSWE) accreditation standards.</w:t>
      </w:r>
    </w:p>
    <w:p>
      <w:pPr>
        <w:pStyle w:val="BodyText"/>
        <w:rPr>
          <w:sz w:val="28"/>
        </w:rPr>
      </w:pPr>
    </w:p>
    <w:p>
      <w:pPr>
        <w:pStyle w:val="Heading2"/>
        <w:spacing w:before="243"/>
        <w:ind w:left="863"/>
      </w:pPr>
      <w:r>
        <w:rPr>
          <w:color w:val="1F497C"/>
        </w:rPr>
        <w:t>GRADING SYSTEM</w:t>
      </w:r>
    </w:p>
    <w:p>
      <w:pPr>
        <w:pStyle w:val="BodyText"/>
        <w:spacing w:before="11"/>
        <w:rPr>
          <w:b/>
          <w:sz w:val="23"/>
        </w:rPr>
      </w:pPr>
    </w:p>
    <w:p>
      <w:pPr>
        <w:pStyle w:val="BodyText"/>
        <w:spacing w:before="1"/>
        <w:ind w:left="863" w:right="212"/>
        <w:jc w:val="both"/>
      </w:pPr>
      <w:r>
        <w:rPr/>
        <w:t>The grades that may be awarded are as follows: A+, A, A-, B+, B, B-, C+, C, C-, D+, D, or F.”</w:t>
      </w:r>
      <w:r>
        <w:rPr>
          <w:spacing w:val="-32"/>
        </w:rPr>
        <w:t> </w:t>
      </w:r>
      <w:r>
        <w:rPr/>
        <w:t>Grades used to postpone or suspend course completion include “I” (incomplete), “IP” (in progress), and “W” (withdrawn).</w:t>
      </w:r>
    </w:p>
    <w:p>
      <w:pPr>
        <w:pStyle w:val="BodyText"/>
        <w:rPr>
          <w:sz w:val="28"/>
        </w:rPr>
      </w:pPr>
    </w:p>
    <w:p>
      <w:pPr>
        <w:pStyle w:val="BodyText"/>
        <w:spacing w:before="7"/>
        <w:rPr>
          <w:sz w:val="39"/>
        </w:rPr>
      </w:pPr>
    </w:p>
    <w:p>
      <w:pPr>
        <w:pStyle w:val="Heading2"/>
      </w:pPr>
      <w:r>
        <w:rPr>
          <w:color w:val="1F497C"/>
        </w:rPr>
        <w:t>PLUS/MINUS GRADING SCALE</w:t>
      </w:r>
    </w:p>
    <w:p>
      <w:pPr>
        <w:pStyle w:val="BodyText"/>
        <w:spacing w:before="6"/>
        <w:rPr>
          <w:b/>
          <w:sz w:val="19"/>
        </w:rPr>
      </w:pPr>
    </w:p>
    <w:tbl>
      <w:tblPr>
        <w:tblW w:w="0" w:type="auto"/>
        <w:jc w:val="left"/>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0"/>
        <w:gridCol w:w="2391"/>
        <w:gridCol w:w="2396"/>
        <w:gridCol w:w="2396"/>
      </w:tblGrid>
      <w:tr>
        <w:trPr>
          <w:trHeight w:val="292" w:hRule="atLeast"/>
        </w:trPr>
        <w:tc>
          <w:tcPr>
            <w:tcW w:w="2290" w:type="dxa"/>
          </w:tcPr>
          <w:p>
            <w:pPr>
              <w:pStyle w:val="TableParagraph"/>
              <w:spacing w:line="266" w:lineRule="exact" w:before="6"/>
              <w:ind w:left="107"/>
              <w:rPr>
                <w:rFonts w:ascii="Calibri"/>
                <w:b/>
                <w:sz w:val="24"/>
              </w:rPr>
            </w:pPr>
            <w:r>
              <w:rPr>
                <w:rFonts w:ascii="Calibri"/>
                <w:b/>
                <w:sz w:val="24"/>
              </w:rPr>
              <w:t>Grade</w:t>
            </w:r>
          </w:p>
        </w:tc>
        <w:tc>
          <w:tcPr>
            <w:tcW w:w="2391" w:type="dxa"/>
          </w:tcPr>
          <w:p>
            <w:pPr>
              <w:pStyle w:val="TableParagraph"/>
              <w:spacing w:line="266" w:lineRule="exact" w:before="6"/>
              <w:ind w:left="102"/>
              <w:rPr>
                <w:rFonts w:ascii="Calibri"/>
                <w:b/>
                <w:sz w:val="24"/>
              </w:rPr>
            </w:pPr>
            <w:r>
              <w:rPr>
                <w:rFonts w:ascii="Calibri"/>
                <w:b/>
                <w:sz w:val="24"/>
              </w:rPr>
              <w:t>Quality Points</w:t>
            </w:r>
          </w:p>
        </w:tc>
        <w:tc>
          <w:tcPr>
            <w:tcW w:w="2396" w:type="dxa"/>
          </w:tcPr>
          <w:p>
            <w:pPr>
              <w:pStyle w:val="TableParagraph"/>
              <w:spacing w:line="266" w:lineRule="exact" w:before="6"/>
              <w:ind w:left="106"/>
              <w:rPr>
                <w:rFonts w:ascii="Calibri"/>
                <w:b/>
                <w:sz w:val="24"/>
              </w:rPr>
            </w:pPr>
            <w:r>
              <w:rPr>
                <w:rFonts w:ascii="Calibri"/>
                <w:b/>
                <w:sz w:val="24"/>
              </w:rPr>
              <w:t>Grade</w:t>
            </w:r>
          </w:p>
        </w:tc>
        <w:tc>
          <w:tcPr>
            <w:tcW w:w="2396" w:type="dxa"/>
          </w:tcPr>
          <w:p>
            <w:pPr>
              <w:pStyle w:val="TableParagraph"/>
              <w:spacing w:line="266" w:lineRule="exact" w:before="6"/>
              <w:ind w:left="105"/>
              <w:rPr>
                <w:rFonts w:ascii="Calibri"/>
                <w:b/>
                <w:sz w:val="24"/>
              </w:rPr>
            </w:pPr>
            <w:r>
              <w:rPr>
                <w:rFonts w:ascii="Calibri"/>
                <w:b/>
                <w:sz w:val="24"/>
              </w:rPr>
              <w:t>Quality Points</w:t>
            </w:r>
          </w:p>
        </w:tc>
      </w:tr>
      <w:tr>
        <w:trPr>
          <w:trHeight w:val="292" w:hRule="atLeast"/>
        </w:trPr>
        <w:tc>
          <w:tcPr>
            <w:tcW w:w="2290" w:type="dxa"/>
          </w:tcPr>
          <w:p>
            <w:pPr>
              <w:pStyle w:val="TableParagraph"/>
              <w:spacing w:line="271" w:lineRule="exact" w:before="1"/>
              <w:ind w:left="107"/>
              <w:rPr>
                <w:rFonts w:ascii="Calibri"/>
                <w:sz w:val="24"/>
              </w:rPr>
            </w:pPr>
            <w:r>
              <w:rPr>
                <w:rFonts w:ascii="Calibri"/>
                <w:sz w:val="24"/>
              </w:rPr>
              <w:t>A+</w:t>
            </w:r>
          </w:p>
        </w:tc>
        <w:tc>
          <w:tcPr>
            <w:tcW w:w="2391" w:type="dxa"/>
          </w:tcPr>
          <w:p>
            <w:pPr>
              <w:pStyle w:val="TableParagraph"/>
              <w:spacing w:line="271" w:lineRule="exact" w:before="1"/>
              <w:ind w:left="102"/>
              <w:rPr>
                <w:rFonts w:ascii="Calibri"/>
                <w:sz w:val="24"/>
              </w:rPr>
            </w:pPr>
            <w:r>
              <w:rPr>
                <w:rFonts w:ascii="Calibri"/>
                <w:sz w:val="24"/>
              </w:rPr>
              <w:t>4.00</w:t>
            </w:r>
          </w:p>
        </w:tc>
        <w:tc>
          <w:tcPr>
            <w:tcW w:w="2396" w:type="dxa"/>
          </w:tcPr>
          <w:p>
            <w:pPr>
              <w:pStyle w:val="TableParagraph"/>
              <w:spacing w:line="271" w:lineRule="exact" w:before="1"/>
              <w:ind w:left="106"/>
              <w:rPr>
                <w:rFonts w:ascii="Calibri"/>
                <w:sz w:val="24"/>
              </w:rPr>
            </w:pPr>
            <w:r>
              <w:rPr>
                <w:rFonts w:ascii="Calibri"/>
                <w:sz w:val="24"/>
              </w:rPr>
              <w:t>C+</w:t>
            </w:r>
          </w:p>
        </w:tc>
        <w:tc>
          <w:tcPr>
            <w:tcW w:w="2396" w:type="dxa"/>
          </w:tcPr>
          <w:p>
            <w:pPr>
              <w:pStyle w:val="TableParagraph"/>
              <w:spacing w:line="271" w:lineRule="exact" w:before="1"/>
              <w:ind w:left="105"/>
              <w:rPr>
                <w:rFonts w:ascii="Calibri"/>
                <w:sz w:val="24"/>
              </w:rPr>
            </w:pPr>
            <w:r>
              <w:rPr>
                <w:rFonts w:ascii="Calibri"/>
                <w:sz w:val="24"/>
              </w:rPr>
              <w:t>2.33</w:t>
            </w:r>
          </w:p>
        </w:tc>
      </w:tr>
      <w:tr>
        <w:trPr>
          <w:trHeight w:val="292" w:hRule="atLeast"/>
        </w:trPr>
        <w:tc>
          <w:tcPr>
            <w:tcW w:w="2290" w:type="dxa"/>
          </w:tcPr>
          <w:p>
            <w:pPr>
              <w:pStyle w:val="TableParagraph"/>
              <w:spacing w:line="266" w:lineRule="exact" w:before="6"/>
              <w:ind w:left="107"/>
              <w:rPr>
                <w:rFonts w:ascii="Calibri"/>
                <w:sz w:val="24"/>
              </w:rPr>
            </w:pPr>
            <w:r>
              <w:rPr>
                <w:rFonts w:ascii="Calibri"/>
                <w:sz w:val="24"/>
              </w:rPr>
              <w:t>A</w:t>
            </w:r>
          </w:p>
        </w:tc>
        <w:tc>
          <w:tcPr>
            <w:tcW w:w="2391" w:type="dxa"/>
          </w:tcPr>
          <w:p>
            <w:pPr>
              <w:pStyle w:val="TableParagraph"/>
              <w:spacing w:line="266" w:lineRule="exact" w:before="6"/>
              <w:ind w:left="102"/>
              <w:rPr>
                <w:rFonts w:ascii="Calibri"/>
                <w:sz w:val="24"/>
              </w:rPr>
            </w:pPr>
            <w:r>
              <w:rPr>
                <w:rFonts w:ascii="Calibri"/>
                <w:sz w:val="24"/>
              </w:rPr>
              <w:t>4.00</w:t>
            </w:r>
          </w:p>
        </w:tc>
        <w:tc>
          <w:tcPr>
            <w:tcW w:w="2396" w:type="dxa"/>
          </w:tcPr>
          <w:p>
            <w:pPr>
              <w:pStyle w:val="TableParagraph"/>
              <w:spacing w:line="266" w:lineRule="exact" w:before="6"/>
              <w:ind w:left="106"/>
              <w:rPr>
                <w:rFonts w:ascii="Calibri"/>
                <w:sz w:val="24"/>
              </w:rPr>
            </w:pPr>
            <w:r>
              <w:rPr>
                <w:rFonts w:ascii="Calibri"/>
                <w:sz w:val="24"/>
              </w:rPr>
              <w:t>C</w:t>
            </w:r>
          </w:p>
        </w:tc>
        <w:tc>
          <w:tcPr>
            <w:tcW w:w="2396" w:type="dxa"/>
          </w:tcPr>
          <w:p>
            <w:pPr>
              <w:pStyle w:val="TableParagraph"/>
              <w:spacing w:line="266" w:lineRule="exact" w:before="6"/>
              <w:ind w:left="105"/>
              <w:rPr>
                <w:rFonts w:ascii="Calibri"/>
                <w:sz w:val="24"/>
              </w:rPr>
            </w:pPr>
            <w:r>
              <w:rPr>
                <w:rFonts w:ascii="Calibri"/>
                <w:sz w:val="24"/>
              </w:rPr>
              <w:t>2.00</w:t>
            </w:r>
          </w:p>
        </w:tc>
      </w:tr>
      <w:tr>
        <w:trPr>
          <w:trHeight w:val="297" w:hRule="atLeast"/>
        </w:trPr>
        <w:tc>
          <w:tcPr>
            <w:tcW w:w="2290" w:type="dxa"/>
          </w:tcPr>
          <w:p>
            <w:pPr>
              <w:pStyle w:val="TableParagraph"/>
              <w:spacing w:line="276" w:lineRule="exact" w:before="1"/>
              <w:ind w:left="107"/>
              <w:rPr>
                <w:rFonts w:ascii="Calibri"/>
                <w:sz w:val="24"/>
              </w:rPr>
            </w:pPr>
            <w:r>
              <w:rPr>
                <w:rFonts w:ascii="Calibri"/>
                <w:sz w:val="24"/>
              </w:rPr>
              <w:t>A-</w:t>
            </w:r>
          </w:p>
        </w:tc>
        <w:tc>
          <w:tcPr>
            <w:tcW w:w="2391" w:type="dxa"/>
          </w:tcPr>
          <w:p>
            <w:pPr>
              <w:pStyle w:val="TableParagraph"/>
              <w:spacing w:line="276" w:lineRule="exact" w:before="1"/>
              <w:ind w:left="102"/>
              <w:rPr>
                <w:rFonts w:ascii="Calibri"/>
                <w:sz w:val="24"/>
              </w:rPr>
            </w:pPr>
            <w:r>
              <w:rPr>
                <w:rFonts w:ascii="Calibri"/>
                <w:sz w:val="24"/>
              </w:rPr>
              <w:t>3.84</w:t>
            </w:r>
          </w:p>
        </w:tc>
        <w:tc>
          <w:tcPr>
            <w:tcW w:w="2396" w:type="dxa"/>
          </w:tcPr>
          <w:p>
            <w:pPr>
              <w:pStyle w:val="TableParagraph"/>
              <w:spacing w:line="276" w:lineRule="exact" w:before="1"/>
              <w:ind w:left="106"/>
              <w:rPr>
                <w:rFonts w:ascii="Calibri"/>
                <w:sz w:val="24"/>
              </w:rPr>
            </w:pPr>
            <w:r>
              <w:rPr>
                <w:rFonts w:ascii="Calibri"/>
                <w:sz w:val="24"/>
              </w:rPr>
              <w:t>C-</w:t>
            </w:r>
          </w:p>
        </w:tc>
        <w:tc>
          <w:tcPr>
            <w:tcW w:w="2396" w:type="dxa"/>
          </w:tcPr>
          <w:p>
            <w:pPr>
              <w:pStyle w:val="TableParagraph"/>
              <w:spacing w:line="276" w:lineRule="exact" w:before="1"/>
              <w:ind w:left="105"/>
              <w:rPr>
                <w:rFonts w:ascii="Calibri"/>
                <w:sz w:val="24"/>
              </w:rPr>
            </w:pPr>
            <w:r>
              <w:rPr>
                <w:rFonts w:ascii="Calibri"/>
                <w:sz w:val="24"/>
              </w:rPr>
              <w:t>1.67</w:t>
            </w:r>
          </w:p>
        </w:tc>
      </w:tr>
      <w:tr>
        <w:trPr>
          <w:trHeight w:val="287" w:hRule="atLeast"/>
        </w:trPr>
        <w:tc>
          <w:tcPr>
            <w:tcW w:w="2290" w:type="dxa"/>
          </w:tcPr>
          <w:p>
            <w:pPr>
              <w:pStyle w:val="TableParagraph"/>
              <w:spacing w:line="266" w:lineRule="exact" w:before="1"/>
              <w:ind w:left="107"/>
              <w:rPr>
                <w:rFonts w:ascii="Calibri"/>
                <w:sz w:val="24"/>
              </w:rPr>
            </w:pPr>
            <w:r>
              <w:rPr>
                <w:rFonts w:ascii="Calibri"/>
                <w:sz w:val="24"/>
              </w:rPr>
              <w:t>B+</w:t>
            </w:r>
          </w:p>
        </w:tc>
        <w:tc>
          <w:tcPr>
            <w:tcW w:w="2391" w:type="dxa"/>
          </w:tcPr>
          <w:p>
            <w:pPr>
              <w:pStyle w:val="TableParagraph"/>
              <w:spacing w:line="266" w:lineRule="exact" w:before="1"/>
              <w:ind w:left="102"/>
              <w:rPr>
                <w:rFonts w:ascii="Calibri"/>
                <w:sz w:val="24"/>
              </w:rPr>
            </w:pPr>
            <w:r>
              <w:rPr>
                <w:rFonts w:ascii="Calibri"/>
                <w:sz w:val="24"/>
              </w:rPr>
              <w:t>3.33</w:t>
            </w:r>
          </w:p>
        </w:tc>
        <w:tc>
          <w:tcPr>
            <w:tcW w:w="2396" w:type="dxa"/>
          </w:tcPr>
          <w:p>
            <w:pPr>
              <w:pStyle w:val="TableParagraph"/>
              <w:spacing w:line="266" w:lineRule="exact" w:before="1"/>
              <w:ind w:left="106"/>
              <w:rPr>
                <w:rFonts w:ascii="Calibri"/>
                <w:sz w:val="24"/>
              </w:rPr>
            </w:pPr>
            <w:r>
              <w:rPr>
                <w:rFonts w:ascii="Calibri"/>
                <w:sz w:val="24"/>
              </w:rPr>
              <w:t>D+</w:t>
            </w:r>
          </w:p>
        </w:tc>
        <w:tc>
          <w:tcPr>
            <w:tcW w:w="2396" w:type="dxa"/>
          </w:tcPr>
          <w:p>
            <w:pPr>
              <w:pStyle w:val="TableParagraph"/>
              <w:spacing w:line="266" w:lineRule="exact" w:before="1"/>
              <w:ind w:left="105"/>
              <w:rPr>
                <w:rFonts w:ascii="Calibri"/>
                <w:sz w:val="24"/>
              </w:rPr>
            </w:pPr>
            <w:r>
              <w:rPr>
                <w:rFonts w:ascii="Calibri"/>
                <w:sz w:val="24"/>
              </w:rPr>
              <w:t>1.33</w:t>
            </w:r>
          </w:p>
        </w:tc>
      </w:tr>
      <w:tr>
        <w:trPr>
          <w:trHeight w:val="297" w:hRule="atLeast"/>
        </w:trPr>
        <w:tc>
          <w:tcPr>
            <w:tcW w:w="2290" w:type="dxa"/>
          </w:tcPr>
          <w:p>
            <w:pPr>
              <w:pStyle w:val="TableParagraph"/>
              <w:spacing w:line="271" w:lineRule="exact" w:before="6"/>
              <w:ind w:left="107"/>
              <w:rPr>
                <w:rFonts w:ascii="Calibri"/>
                <w:sz w:val="24"/>
              </w:rPr>
            </w:pPr>
            <w:r>
              <w:rPr>
                <w:rFonts w:ascii="Calibri"/>
                <w:sz w:val="24"/>
              </w:rPr>
              <w:t>B</w:t>
            </w:r>
          </w:p>
        </w:tc>
        <w:tc>
          <w:tcPr>
            <w:tcW w:w="2391" w:type="dxa"/>
          </w:tcPr>
          <w:p>
            <w:pPr>
              <w:pStyle w:val="TableParagraph"/>
              <w:spacing w:line="271" w:lineRule="exact" w:before="6"/>
              <w:ind w:left="102"/>
              <w:rPr>
                <w:rFonts w:ascii="Calibri"/>
                <w:sz w:val="24"/>
              </w:rPr>
            </w:pPr>
            <w:r>
              <w:rPr>
                <w:rFonts w:ascii="Calibri"/>
                <w:sz w:val="24"/>
              </w:rPr>
              <w:t>3.00</w:t>
            </w:r>
          </w:p>
        </w:tc>
        <w:tc>
          <w:tcPr>
            <w:tcW w:w="2396" w:type="dxa"/>
          </w:tcPr>
          <w:p>
            <w:pPr>
              <w:pStyle w:val="TableParagraph"/>
              <w:spacing w:line="271" w:lineRule="exact" w:before="6"/>
              <w:ind w:left="106"/>
              <w:rPr>
                <w:rFonts w:ascii="Calibri"/>
                <w:sz w:val="24"/>
              </w:rPr>
            </w:pPr>
            <w:r>
              <w:rPr>
                <w:rFonts w:ascii="Calibri"/>
                <w:sz w:val="24"/>
              </w:rPr>
              <w:t>D</w:t>
            </w:r>
          </w:p>
        </w:tc>
        <w:tc>
          <w:tcPr>
            <w:tcW w:w="2396" w:type="dxa"/>
          </w:tcPr>
          <w:p>
            <w:pPr>
              <w:pStyle w:val="TableParagraph"/>
              <w:spacing w:line="271" w:lineRule="exact" w:before="6"/>
              <w:ind w:left="105"/>
              <w:rPr>
                <w:rFonts w:ascii="Calibri"/>
                <w:sz w:val="24"/>
              </w:rPr>
            </w:pPr>
            <w:r>
              <w:rPr>
                <w:rFonts w:ascii="Calibri"/>
                <w:sz w:val="24"/>
              </w:rPr>
              <w:t>1.00</w:t>
            </w:r>
          </w:p>
        </w:tc>
      </w:tr>
      <w:tr>
        <w:trPr>
          <w:trHeight w:val="292" w:hRule="atLeast"/>
        </w:trPr>
        <w:tc>
          <w:tcPr>
            <w:tcW w:w="2290" w:type="dxa"/>
          </w:tcPr>
          <w:p>
            <w:pPr>
              <w:pStyle w:val="TableParagraph"/>
              <w:spacing w:line="266" w:lineRule="exact" w:before="6"/>
              <w:ind w:left="107"/>
              <w:rPr>
                <w:rFonts w:ascii="Calibri"/>
                <w:sz w:val="24"/>
              </w:rPr>
            </w:pPr>
            <w:r>
              <w:rPr>
                <w:rFonts w:ascii="Calibri"/>
                <w:sz w:val="24"/>
              </w:rPr>
              <w:t>B-</w:t>
            </w:r>
          </w:p>
        </w:tc>
        <w:tc>
          <w:tcPr>
            <w:tcW w:w="2391" w:type="dxa"/>
          </w:tcPr>
          <w:p>
            <w:pPr>
              <w:pStyle w:val="TableParagraph"/>
              <w:spacing w:line="266" w:lineRule="exact" w:before="6"/>
              <w:ind w:left="102"/>
              <w:rPr>
                <w:rFonts w:ascii="Calibri"/>
                <w:sz w:val="24"/>
              </w:rPr>
            </w:pPr>
            <w:r>
              <w:rPr>
                <w:rFonts w:ascii="Calibri"/>
                <w:sz w:val="24"/>
              </w:rPr>
              <w:t>2.67</w:t>
            </w:r>
          </w:p>
        </w:tc>
        <w:tc>
          <w:tcPr>
            <w:tcW w:w="2396" w:type="dxa"/>
          </w:tcPr>
          <w:p>
            <w:pPr>
              <w:pStyle w:val="TableParagraph"/>
              <w:spacing w:line="266" w:lineRule="exact" w:before="6"/>
              <w:ind w:left="106"/>
              <w:rPr>
                <w:rFonts w:ascii="Calibri"/>
                <w:sz w:val="24"/>
              </w:rPr>
            </w:pPr>
            <w:r>
              <w:rPr>
                <w:rFonts w:ascii="Calibri"/>
                <w:sz w:val="24"/>
              </w:rPr>
              <w:t>F</w:t>
            </w:r>
          </w:p>
        </w:tc>
        <w:tc>
          <w:tcPr>
            <w:tcW w:w="2396" w:type="dxa"/>
          </w:tcPr>
          <w:p>
            <w:pPr>
              <w:pStyle w:val="TableParagraph"/>
              <w:spacing w:line="266" w:lineRule="exact" w:before="6"/>
              <w:ind w:left="105"/>
              <w:rPr>
                <w:rFonts w:ascii="Calibri"/>
                <w:sz w:val="24"/>
              </w:rPr>
            </w:pPr>
            <w:r>
              <w:rPr>
                <w:rFonts w:ascii="Calibri"/>
                <w:sz w:val="24"/>
              </w:rPr>
              <w:t>0.00</w:t>
            </w:r>
          </w:p>
        </w:tc>
      </w:tr>
    </w:tbl>
    <w:p>
      <w:pPr>
        <w:pStyle w:val="BodyText"/>
        <w:spacing w:before="1"/>
        <w:rPr>
          <w:b/>
        </w:rPr>
      </w:pPr>
    </w:p>
    <w:p>
      <w:pPr>
        <w:pStyle w:val="BodyText"/>
        <w:ind w:left="865"/>
      </w:pPr>
      <w:r>
        <w:rPr/>
        <w:t>Grades of IP, S, and U do not carry any quality points and are not included in computing GPA.</w:t>
      </w:r>
    </w:p>
    <w:p>
      <w:pPr>
        <w:pStyle w:val="BodyText"/>
        <w:spacing w:before="240"/>
        <w:ind w:left="863" w:right="214"/>
      </w:pPr>
      <w:r>
        <w:rPr/>
        <w:t>Students must maintain a GPA of 3.0 throughout the program. Students who earn a grade of C+ or lower in a class may choose to retake the course one time to improve their grade.</w:t>
      </w:r>
    </w:p>
    <w:p>
      <w:pPr>
        <w:pStyle w:val="BodyText"/>
        <w:spacing w:before="240"/>
        <w:ind w:left="863" w:right="214"/>
        <w:jc w:val="both"/>
      </w:pPr>
      <w:r>
        <w:rPr/>
        <w:t>A grade of D+ or lower will not count toward graduation. Regardless of whether the student plans to retake the course, a grade of D+, D, or F will result in an automatic referral to the program retention committee during the following semester.</w:t>
      </w:r>
    </w:p>
    <w:p>
      <w:pPr>
        <w:spacing w:after="0"/>
        <w:jc w:val="both"/>
        <w:sectPr>
          <w:pgSz w:w="12240" w:h="15840"/>
          <w:pgMar w:header="0" w:footer="992" w:top="1380" w:bottom="1180" w:left="300" w:right="920"/>
        </w:sectPr>
      </w:pPr>
    </w:p>
    <w:p>
      <w:pPr>
        <w:pStyle w:val="Heading2"/>
        <w:spacing w:before="73"/>
        <w:ind w:left="863"/>
        <w:jc w:val="both"/>
      </w:pPr>
      <w:r>
        <w:rPr>
          <w:color w:val="1F497C"/>
        </w:rPr>
        <w:t>INCOMPLETE</w:t>
      </w:r>
    </w:p>
    <w:p>
      <w:pPr>
        <w:pStyle w:val="BodyText"/>
        <w:spacing w:line="244" w:lineRule="auto" w:before="240"/>
        <w:ind w:left="865" w:right="213"/>
        <w:jc w:val="both"/>
      </w:pPr>
      <w:r>
        <w:rPr/>
        <w:t>The grade “I” (incomplete) may be assigned at the instructor’s discretion in any course in which the student is unable to complete the work due to extraordinary events beyond the individual’s control. The “I” may not be used to extend the term for students who complete the course with an unsatisfactory grade. The "I" grade indicates that you have not completed the course for some unavoidable reason that is acceptable to the instructor. Graduate students have ninety (90) days from the end of the semester in which to complete the work.</w:t>
      </w:r>
    </w:p>
    <w:p>
      <w:pPr>
        <w:pStyle w:val="BodyText"/>
        <w:spacing w:before="237"/>
        <w:ind w:left="867" w:right="218"/>
        <w:jc w:val="both"/>
      </w:pPr>
      <w:r>
        <w:rPr/>
        <w:t>Unless the student completes the requirements for removal of the “I” within the allotted number of days</w:t>
      </w:r>
      <w:r>
        <w:rPr>
          <w:spacing w:val="-6"/>
        </w:rPr>
        <w:t> </w:t>
      </w:r>
      <w:r>
        <w:rPr/>
        <w:t>from</w:t>
      </w:r>
      <w:r>
        <w:rPr>
          <w:spacing w:val="-5"/>
        </w:rPr>
        <w:t> </w:t>
      </w:r>
      <w:r>
        <w:rPr/>
        <w:t>the</w:t>
      </w:r>
      <w:r>
        <w:rPr>
          <w:spacing w:val="-6"/>
        </w:rPr>
        <w:t> </w:t>
      </w:r>
      <w:r>
        <w:rPr/>
        <w:t>end</w:t>
      </w:r>
      <w:r>
        <w:rPr>
          <w:spacing w:val="-5"/>
        </w:rPr>
        <w:t> </w:t>
      </w:r>
      <w:r>
        <w:rPr/>
        <w:t>of</w:t>
      </w:r>
      <w:r>
        <w:rPr>
          <w:spacing w:val="-6"/>
        </w:rPr>
        <w:t> </w:t>
      </w:r>
      <w:r>
        <w:rPr/>
        <w:t>the</w:t>
      </w:r>
      <w:r>
        <w:rPr>
          <w:spacing w:val="-5"/>
        </w:rPr>
        <w:t> </w:t>
      </w:r>
      <w:r>
        <w:rPr/>
        <w:t>semester</w:t>
      </w:r>
      <w:r>
        <w:rPr>
          <w:spacing w:val="-6"/>
        </w:rPr>
        <w:t> </w:t>
      </w:r>
      <w:r>
        <w:rPr/>
        <w:t>or</w:t>
      </w:r>
      <w:r>
        <w:rPr>
          <w:spacing w:val="-5"/>
        </w:rPr>
        <w:t> </w:t>
      </w:r>
      <w:r>
        <w:rPr/>
        <w:t>summer</w:t>
      </w:r>
      <w:r>
        <w:rPr>
          <w:spacing w:val="-6"/>
        </w:rPr>
        <w:t> </w:t>
      </w:r>
      <w:r>
        <w:rPr/>
        <w:t>term</w:t>
      </w:r>
      <w:r>
        <w:rPr>
          <w:spacing w:val="-5"/>
        </w:rPr>
        <w:t> </w:t>
      </w:r>
      <w:r>
        <w:rPr/>
        <w:t>in</w:t>
      </w:r>
      <w:r>
        <w:rPr>
          <w:spacing w:val="-6"/>
        </w:rPr>
        <w:t> </w:t>
      </w:r>
      <w:r>
        <w:rPr/>
        <w:t>which</w:t>
      </w:r>
      <w:r>
        <w:rPr>
          <w:spacing w:val="-5"/>
        </w:rPr>
        <w:t> </w:t>
      </w:r>
      <w:r>
        <w:rPr/>
        <w:t>it</w:t>
      </w:r>
      <w:r>
        <w:rPr>
          <w:spacing w:val="-6"/>
        </w:rPr>
        <w:t> </w:t>
      </w:r>
      <w:r>
        <w:rPr/>
        <w:t>was</w:t>
      </w:r>
      <w:r>
        <w:rPr>
          <w:spacing w:val="-5"/>
        </w:rPr>
        <w:t> </w:t>
      </w:r>
      <w:r>
        <w:rPr/>
        <w:t>received</w:t>
      </w:r>
      <w:r>
        <w:rPr>
          <w:spacing w:val="-6"/>
        </w:rPr>
        <w:t> </w:t>
      </w:r>
      <w:r>
        <w:rPr/>
        <w:t>(see</w:t>
      </w:r>
      <w:r>
        <w:rPr>
          <w:spacing w:val="-5"/>
        </w:rPr>
        <w:t> </w:t>
      </w:r>
      <w:r>
        <w:rPr/>
        <w:t>University</w:t>
      </w:r>
      <w:r>
        <w:rPr>
          <w:spacing w:val="43"/>
        </w:rPr>
        <w:t> </w:t>
      </w:r>
      <w:r>
        <w:rPr/>
        <w:t>Calendar), the “I” will automatically change to an “F,” regardless of whether or not the student is enrolled. The instructor</w:t>
      </w:r>
      <w:r>
        <w:rPr>
          <w:spacing w:val="-5"/>
        </w:rPr>
        <w:t> </w:t>
      </w:r>
      <w:r>
        <w:rPr/>
        <w:t>may</w:t>
      </w:r>
      <w:r>
        <w:rPr>
          <w:spacing w:val="-4"/>
        </w:rPr>
        <w:t> </w:t>
      </w:r>
      <w:r>
        <w:rPr/>
        <w:t>grant</w:t>
      </w:r>
      <w:r>
        <w:rPr>
          <w:spacing w:val="-4"/>
        </w:rPr>
        <w:t> </w:t>
      </w:r>
      <w:r>
        <w:rPr/>
        <w:t>a</w:t>
      </w:r>
      <w:r>
        <w:rPr>
          <w:spacing w:val="-5"/>
        </w:rPr>
        <w:t> </w:t>
      </w:r>
      <w:r>
        <w:rPr/>
        <w:t>45-day</w:t>
      </w:r>
      <w:r>
        <w:rPr>
          <w:spacing w:val="-4"/>
        </w:rPr>
        <w:t> </w:t>
      </w:r>
      <w:r>
        <w:rPr/>
        <w:t>extension</w:t>
      </w:r>
      <w:r>
        <w:rPr>
          <w:spacing w:val="-4"/>
        </w:rPr>
        <w:t> </w:t>
      </w:r>
      <w:r>
        <w:rPr/>
        <w:t>if</w:t>
      </w:r>
      <w:r>
        <w:rPr>
          <w:spacing w:val="-5"/>
        </w:rPr>
        <w:t> </w:t>
      </w:r>
      <w:r>
        <w:rPr/>
        <w:t>sufficient</w:t>
      </w:r>
      <w:r>
        <w:rPr>
          <w:spacing w:val="-4"/>
        </w:rPr>
        <w:t> </w:t>
      </w:r>
      <w:r>
        <w:rPr/>
        <w:t>extenuating</w:t>
      </w:r>
      <w:r>
        <w:rPr>
          <w:spacing w:val="-4"/>
        </w:rPr>
        <w:t> </w:t>
      </w:r>
      <w:r>
        <w:rPr/>
        <w:t>circumstances</w:t>
      </w:r>
      <w:r>
        <w:rPr>
          <w:spacing w:val="-5"/>
        </w:rPr>
        <w:t> </w:t>
      </w:r>
      <w:r>
        <w:rPr/>
        <w:t>exist.</w:t>
      </w:r>
      <w:r>
        <w:rPr>
          <w:spacing w:val="-4"/>
        </w:rPr>
        <w:t> </w:t>
      </w:r>
      <w:r>
        <w:rPr/>
        <w:t>At</w:t>
      </w:r>
      <w:r>
        <w:rPr>
          <w:spacing w:val="-4"/>
        </w:rPr>
        <w:t> </w:t>
      </w:r>
      <w:r>
        <w:rPr/>
        <w:t>the</w:t>
      </w:r>
      <w:r>
        <w:rPr>
          <w:spacing w:val="-5"/>
        </w:rPr>
        <w:t> </w:t>
      </w:r>
      <w:r>
        <w:rPr/>
        <w:t>end</w:t>
      </w:r>
      <w:r>
        <w:rPr>
          <w:spacing w:val="-4"/>
        </w:rPr>
        <w:t> </w:t>
      </w:r>
      <w:r>
        <w:rPr/>
        <w:t>of</w:t>
      </w:r>
      <w:r>
        <w:rPr>
          <w:spacing w:val="-4"/>
        </w:rPr>
        <w:t> </w:t>
      </w:r>
      <w:r>
        <w:rPr/>
        <w:t>the 45-day extension period, the “I” grade will automatically revert to an “F” if the student has not completed the requirements. The student will be certified for graduation when all requirements are met,</w:t>
      </w:r>
      <w:r>
        <w:rPr>
          <w:spacing w:val="-8"/>
        </w:rPr>
        <w:t> </w:t>
      </w:r>
      <w:r>
        <w:rPr/>
        <w:t>including</w:t>
      </w:r>
      <w:r>
        <w:rPr>
          <w:spacing w:val="-7"/>
        </w:rPr>
        <w:t> </w:t>
      </w:r>
      <w:r>
        <w:rPr/>
        <w:t>the</w:t>
      </w:r>
      <w:r>
        <w:rPr>
          <w:spacing w:val="-8"/>
        </w:rPr>
        <w:t> </w:t>
      </w:r>
      <w:r>
        <w:rPr/>
        <w:t>removal</w:t>
      </w:r>
      <w:r>
        <w:rPr>
          <w:spacing w:val="-7"/>
        </w:rPr>
        <w:t> </w:t>
      </w:r>
      <w:r>
        <w:rPr/>
        <w:t>of</w:t>
      </w:r>
      <w:r>
        <w:rPr>
          <w:spacing w:val="-7"/>
        </w:rPr>
        <w:t> </w:t>
      </w:r>
      <w:r>
        <w:rPr/>
        <w:t>all</w:t>
      </w:r>
      <w:r>
        <w:rPr>
          <w:spacing w:val="-8"/>
        </w:rPr>
        <w:t> </w:t>
      </w:r>
      <w:r>
        <w:rPr/>
        <w:t>“I”</w:t>
      </w:r>
      <w:r>
        <w:rPr>
          <w:spacing w:val="-7"/>
        </w:rPr>
        <w:t> </w:t>
      </w:r>
      <w:r>
        <w:rPr/>
        <w:t>grades.</w:t>
      </w:r>
      <w:r>
        <w:rPr>
          <w:spacing w:val="-7"/>
        </w:rPr>
        <w:t> </w:t>
      </w:r>
      <w:r>
        <w:rPr/>
        <w:t>For</w:t>
      </w:r>
      <w:r>
        <w:rPr>
          <w:spacing w:val="-8"/>
        </w:rPr>
        <w:t> </w:t>
      </w:r>
      <w:r>
        <w:rPr/>
        <w:t>students</w:t>
      </w:r>
      <w:r>
        <w:rPr>
          <w:spacing w:val="-7"/>
        </w:rPr>
        <w:t> </w:t>
      </w:r>
      <w:r>
        <w:rPr/>
        <w:t>who</w:t>
      </w:r>
      <w:r>
        <w:rPr>
          <w:spacing w:val="-7"/>
        </w:rPr>
        <w:t> </w:t>
      </w:r>
      <w:r>
        <w:rPr/>
        <w:t>have</w:t>
      </w:r>
      <w:r>
        <w:rPr>
          <w:spacing w:val="-8"/>
        </w:rPr>
        <w:t> </w:t>
      </w:r>
      <w:r>
        <w:rPr/>
        <w:t>an</w:t>
      </w:r>
      <w:r>
        <w:rPr>
          <w:spacing w:val="-7"/>
        </w:rPr>
        <w:t> </w:t>
      </w:r>
      <w:r>
        <w:rPr/>
        <w:t>“I”</w:t>
      </w:r>
      <w:r>
        <w:rPr>
          <w:spacing w:val="-8"/>
        </w:rPr>
        <w:t> </w:t>
      </w:r>
      <w:r>
        <w:rPr/>
        <w:t>in</w:t>
      </w:r>
      <w:r>
        <w:rPr>
          <w:spacing w:val="-7"/>
        </w:rPr>
        <w:t> </w:t>
      </w:r>
      <w:r>
        <w:rPr/>
        <w:t>the</w:t>
      </w:r>
      <w:r>
        <w:rPr>
          <w:spacing w:val="-7"/>
        </w:rPr>
        <w:t> </w:t>
      </w:r>
      <w:r>
        <w:rPr/>
        <w:t>semester</w:t>
      </w:r>
      <w:r>
        <w:rPr>
          <w:spacing w:val="-8"/>
        </w:rPr>
        <w:t> </w:t>
      </w:r>
      <w:r>
        <w:rPr/>
        <w:t>in</w:t>
      </w:r>
      <w:r>
        <w:rPr>
          <w:spacing w:val="-7"/>
        </w:rPr>
        <w:t> </w:t>
      </w:r>
      <w:r>
        <w:rPr/>
        <w:t>which</w:t>
      </w:r>
      <w:r>
        <w:rPr>
          <w:spacing w:val="-7"/>
        </w:rPr>
        <w:t> </w:t>
      </w:r>
      <w:r>
        <w:rPr/>
        <w:t>they expect</w:t>
      </w:r>
      <w:r>
        <w:rPr>
          <w:spacing w:val="-7"/>
        </w:rPr>
        <w:t> </w:t>
      </w:r>
      <w:r>
        <w:rPr/>
        <w:t>to</w:t>
      </w:r>
      <w:r>
        <w:rPr>
          <w:spacing w:val="-6"/>
        </w:rPr>
        <w:t> </w:t>
      </w:r>
      <w:r>
        <w:rPr/>
        <w:t>graduate,</w:t>
      </w:r>
      <w:r>
        <w:rPr>
          <w:spacing w:val="-7"/>
        </w:rPr>
        <w:t> </w:t>
      </w:r>
      <w:r>
        <w:rPr/>
        <w:t>the</w:t>
      </w:r>
      <w:r>
        <w:rPr>
          <w:spacing w:val="-6"/>
        </w:rPr>
        <w:t> </w:t>
      </w:r>
      <w:r>
        <w:rPr/>
        <w:t>certification</w:t>
      </w:r>
      <w:r>
        <w:rPr>
          <w:spacing w:val="-6"/>
        </w:rPr>
        <w:t> </w:t>
      </w:r>
      <w:r>
        <w:rPr/>
        <w:t>process</w:t>
      </w:r>
      <w:r>
        <w:rPr>
          <w:spacing w:val="-7"/>
        </w:rPr>
        <w:t> </w:t>
      </w:r>
      <w:r>
        <w:rPr/>
        <w:t>and</w:t>
      </w:r>
      <w:r>
        <w:rPr>
          <w:spacing w:val="-6"/>
        </w:rPr>
        <w:t> </w:t>
      </w:r>
      <w:r>
        <w:rPr/>
        <w:t>graduation</w:t>
      </w:r>
      <w:r>
        <w:rPr>
          <w:spacing w:val="42"/>
        </w:rPr>
        <w:t> </w:t>
      </w:r>
      <w:r>
        <w:rPr/>
        <w:t>will</w:t>
      </w:r>
      <w:r>
        <w:rPr>
          <w:spacing w:val="-6"/>
        </w:rPr>
        <w:t> </w:t>
      </w:r>
      <w:r>
        <w:rPr/>
        <w:t>automatically</w:t>
      </w:r>
      <w:r>
        <w:rPr>
          <w:spacing w:val="-7"/>
        </w:rPr>
        <w:t> </w:t>
      </w:r>
      <w:r>
        <w:rPr/>
        <w:t>be</w:t>
      </w:r>
      <w:r>
        <w:rPr>
          <w:spacing w:val="-6"/>
        </w:rPr>
        <w:t> </w:t>
      </w:r>
      <w:r>
        <w:rPr/>
        <w:t>deferred</w:t>
      </w:r>
      <w:r>
        <w:rPr>
          <w:spacing w:val="-6"/>
        </w:rPr>
        <w:t> </w:t>
      </w:r>
      <w:r>
        <w:rPr/>
        <w:t>to</w:t>
      </w:r>
      <w:r>
        <w:rPr>
          <w:spacing w:val="-7"/>
        </w:rPr>
        <w:t> </w:t>
      </w:r>
      <w:r>
        <w:rPr/>
        <w:t>the</w:t>
      </w:r>
      <w:r>
        <w:rPr>
          <w:spacing w:val="-6"/>
        </w:rPr>
        <w:t> </w:t>
      </w:r>
      <w:r>
        <w:rPr/>
        <w:t>next term.</w:t>
      </w:r>
    </w:p>
    <w:p>
      <w:pPr>
        <w:pStyle w:val="BodyText"/>
        <w:rPr>
          <w:sz w:val="28"/>
        </w:rPr>
      </w:pPr>
    </w:p>
    <w:p>
      <w:pPr>
        <w:pStyle w:val="BodyText"/>
        <w:spacing w:before="7"/>
        <w:rPr>
          <w:sz w:val="26"/>
        </w:rPr>
      </w:pPr>
    </w:p>
    <w:p>
      <w:pPr>
        <w:pStyle w:val="Heading2"/>
        <w:ind w:left="867"/>
        <w:jc w:val="both"/>
      </w:pPr>
      <w:r>
        <w:rPr>
          <w:color w:val="1F497C"/>
        </w:rPr>
        <w:t>ACADEMIC HOLDS</w:t>
      </w:r>
    </w:p>
    <w:p>
      <w:pPr>
        <w:pStyle w:val="BodyText"/>
        <w:spacing w:before="11"/>
        <w:rPr>
          <w:b/>
          <w:sz w:val="21"/>
        </w:rPr>
      </w:pPr>
    </w:p>
    <w:p>
      <w:pPr>
        <w:pStyle w:val="BodyText"/>
        <w:spacing w:before="1"/>
        <w:ind w:left="867" w:right="220"/>
        <w:jc w:val="both"/>
        <w:rPr>
          <w:rFonts w:ascii="Times New Roman"/>
        </w:rPr>
      </w:pPr>
      <w:r>
        <w:rPr>
          <w:rFonts w:ascii="Times New Roman"/>
        </w:rPr>
        <w:t>Students who earn academic holds will have to petition the MSW Program Director for their removal. Academic</w:t>
      </w:r>
      <w:r>
        <w:rPr>
          <w:rFonts w:ascii="Times New Roman"/>
          <w:spacing w:val="-13"/>
        </w:rPr>
        <w:t> </w:t>
      </w:r>
      <w:r>
        <w:rPr>
          <w:rFonts w:ascii="Times New Roman"/>
        </w:rPr>
        <w:t>holds</w:t>
      </w:r>
      <w:r>
        <w:rPr>
          <w:rFonts w:ascii="Times New Roman"/>
          <w:spacing w:val="-12"/>
        </w:rPr>
        <w:t> </w:t>
      </w:r>
      <w:r>
        <w:rPr>
          <w:rFonts w:ascii="Times New Roman"/>
        </w:rPr>
        <w:t>will</w:t>
      </w:r>
      <w:r>
        <w:rPr>
          <w:rFonts w:ascii="Times New Roman"/>
          <w:spacing w:val="-13"/>
        </w:rPr>
        <w:t> </w:t>
      </w:r>
      <w:r>
        <w:rPr>
          <w:rFonts w:ascii="Times New Roman"/>
        </w:rPr>
        <w:t>be</w:t>
      </w:r>
      <w:r>
        <w:rPr>
          <w:rFonts w:ascii="Times New Roman"/>
          <w:spacing w:val="-12"/>
        </w:rPr>
        <w:t> </w:t>
      </w:r>
      <w:r>
        <w:rPr>
          <w:rFonts w:ascii="Times New Roman"/>
        </w:rPr>
        <w:t>removed</w:t>
      </w:r>
      <w:r>
        <w:rPr>
          <w:rFonts w:ascii="Times New Roman"/>
          <w:spacing w:val="-12"/>
        </w:rPr>
        <w:t> </w:t>
      </w:r>
      <w:r>
        <w:rPr>
          <w:rFonts w:ascii="Times New Roman"/>
        </w:rPr>
        <w:t>by</w:t>
      </w:r>
      <w:r>
        <w:rPr>
          <w:rFonts w:ascii="Times New Roman"/>
          <w:spacing w:val="-13"/>
        </w:rPr>
        <w:t> </w:t>
      </w:r>
      <w:r>
        <w:rPr>
          <w:rFonts w:ascii="Times New Roman"/>
        </w:rPr>
        <w:t>the</w:t>
      </w:r>
      <w:r>
        <w:rPr>
          <w:rFonts w:ascii="Times New Roman"/>
          <w:spacing w:val="-12"/>
        </w:rPr>
        <w:t> </w:t>
      </w:r>
      <w:r>
        <w:rPr>
          <w:rFonts w:ascii="Times New Roman"/>
        </w:rPr>
        <w:t>MSW</w:t>
      </w:r>
      <w:r>
        <w:rPr>
          <w:rFonts w:ascii="Times New Roman"/>
          <w:spacing w:val="-13"/>
        </w:rPr>
        <w:t> </w:t>
      </w:r>
      <w:r>
        <w:rPr>
          <w:rFonts w:ascii="Times New Roman"/>
        </w:rPr>
        <w:t>Program</w:t>
      </w:r>
      <w:r>
        <w:rPr>
          <w:rFonts w:ascii="Times New Roman"/>
          <w:spacing w:val="-11"/>
        </w:rPr>
        <w:t> </w:t>
      </w:r>
      <w:r>
        <w:rPr>
          <w:rFonts w:ascii="Times New Roman"/>
        </w:rPr>
        <w:t>Director</w:t>
      </w:r>
      <w:r>
        <w:rPr>
          <w:rFonts w:ascii="Times New Roman"/>
          <w:spacing w:val="-12"/>
        </w:rPr>
        <w:t> </w:t>
      </w:r>
      <w:r>
        <w:rPr>
          <w:rFonts w:ascii="Times New Roman"/>
        </w:rPr>
        <w:t>after</w:t>
      </w:r>
      <w:r>
        <w:rPr>
          <w:rFonts w:ascii="Times New Roman"/>
          <w:spacing w:val="-13"/>
        </w:rPr>
        <w:t> </w:t>
      </w:r>
      <w:r>
        <w:rPr>
          <w:rFonts w:ascii="Times New Roman"/>
        </w:rPr>
        <w:t>official</w:t>
      </w:r>
      <w:r>
        <w:rPr>
          <w:rFonts w:ascii="Times New Roman"/>
          <w:spacing w:val="-12"/>
        </w:rPr>
        <w:t> </w:t>
      </w:r>
      <w:r>
        <w:rPr>
          <w:rFonts w:ascii="Times New Roman"/>
        </w:rPr>
        <w:t>semester</w:t>
      </w:r>
      <w:r>
        <w:rPr>
          <w:rFonts w:ascii="Times New Roman"/>
          <w:spacing w:val="-13"/>
        </w:rPr>
        <w:t> </w:t>
      </w:r>
      <w:r>
        <w:rPr>
          <w:rFonts w:ascii="Times New Roman"/>
        </w:rPr>
        <w:t>grades</w:t>
      </w:r>
      <w:r>
        <w:rPr>
          <w:rFonts w:ascii="Times New Roman"/>
          <w:spacing w:val="-12"/>
        </w:rPr>
        <w:t> </w:t>
      </w:r>
      <w:r>
        <w:rPr>
          <w:rFonts w:ascii="Times New Roman"/>
        </w:rPr>
        <w:t>are</w:t>
      </w:r>
      <w:r>
        <w:rPr>
          <w:rFonts w:ascii="Times New Roman"/>
          <w:spacing w:val="-12"/>
        </w:rPr>
        <w:t> </w:t>
      </w:r>
      <w:r>
        <w:rPr>
          <w:rFonts w:ascii="Times New Roman"/>
        </w:rPr>
        <w:t>posted and student has demonstrated adequate progress toward good academic</w:t>
      </w:r>
      <w:r>
        <w:rPr>
          <w:rFonts w:ascii="Times New Roman"/>
          <w:spacing w:val="-7"/>
        </w:rPr>
        <w:t> </w:t>
      </w:r>
      <w:r>
        <w:rPr>
          <w:rFonts w:ascii="Times New Roman"/>
        </w:rPr>
        <w:t>standing.</w:t>
      </w:r>
    </w:p>
    <w:p>
      <w:pPr>
        <w:pStyle w:val="BodyText"/>
        <w:rPr>
          <w:rFonts w:ascii="Times New Roman"/>
          <w:sz w:val="26"/>
        </w:rPr>
      </w:pPr>
    </w:p>
    <w:p>
      <w:pPr>
        <w:pStyle w:val="BodyText"/>
        <w:rPr>
          <w:rFonts w:ascii="Times New Roman"/>
          <w:sz w:val="26"/>
        </w:rPr>
      </w:pPr>
    </w:p>
    <w:p>
      <w:pPr>
        <w:pStyle w:val="Heading2"/>
        <w:spacing w:before="182"/>
        <w:ind w:left="863"/>
        <w:jc w:val="both"/>
      </w:pPr>
      <w:r>
        <w:rPr>
          <w:color w:val="1F497C"/>
        </w:rPr>
        <w:t>GRADE APPEALS</w:t>
      </w:r>
    </w:p>
    <w:p>
      <w:pPr>
        <w:spacing w:before="240"/>
        <w:ind w:left="867" w:right="219" w:firstLine="0"/>
        <w:jc w:val="both"/>
        <w:rPr>
          <w:b/>
          <w:sz w:val="24"/>
        </w:rPr>
      </w:pPr>
      <w:r>
        <w:rPr>
          <w:sz w:val="24"/>
        </w:rPr>
        <w:t>The appeal procedure provides any graduate student at The University of Memphis with a clearly defined</w:t>
      </w:r>
      <w:r>
        <w:rPr>
          <w:spacing w:val="-7"/>
          <w:sz w:val="24"/>
        </w:rPr>
        <w:t> </w:t>
      </w:r>
      <w:r>
        <w:rPr>
          <w:sz w:val="24"/>
        </w:rPr>
        <w:t>avenue</w:t>
      </w:r>
      <w:r>
        <w:rPr>
          <w:spacing w:val="-6"/>
          <w:sz w:val="24"/>
        </w:rPr>
        <w:t> </w:t>
      </w:r>
      <w:r>
        <w:rPr>
          <w:sz w:val="24"/>
        </w:rPr>
        <w:t>for</w:t>
      </w:r>
      <w:r>
        <w:rPr>
          <w:spacing w:val="-7"/>
          <w:sz w:val="24"/>
        </w:rPr>
        <w:t> </w:t>
      </w:r>
      <w:r>
        <w:rPr>
          <w:sz w:val="24"/>
        </w:rPr>
        <w:t>appealing</w:t>
      </w:r>
      <w:r>
        <w:rPr>
          <w:spacing w:val="-6"/>
          <w:sz w:val="24"/>
        </w:rPr>
        <w:t> </w:t>
      </w:r>
      <w:r>
        <w:rPr>
          <w:sz w:val="24"/>
        </w:rPr>
        <w:t>the</w:t>
      </w:r>
      <w:r>
        <w:rPr>
          <w:spacing w:val="-6"/>
          <w:sz w:val="24"/>
        </w:rPr>
        <w:t> </w:t>
      </w:r>
      <w:r>
        <w:rPr>
          <w:sz w:val="24"/>
        </w:rPr>
        <w:t>assignment</w:t>
      </w:r>
      <w:r>
        <w:rPr>
          <w:spacing w:val="-7"/>
          <w:sz w:val="24"/>
        </w:rPr>
        <w:t> </w:t>
      </w:r>
      <w:r>
        <w:rPr>
          <w:sz w:val="24"/>
        </w:rPr>
        <w:t>of</w:t>
      </w:r>
      <w:r>
        <w:rPr>
          <w:spacing w:val="-6"/>
          <w:sz w:val="24"/>
        </w:rPr>
        <w:t> </w:t>
      </w:r>
      <w:r>
        <w:rPr>
          <w:sz w:val="24"/>
        </w:rPr>
        <w:t>a</w:t>
      </w:r>
      <w:r>
        <w:rPr>
          <w:spacing w:val="-6"/>
          <w:sz w:val="24"/>
        </w:rPr>
        <w:t> </w:t>
      </w:r>
      <w:r>
        <w:rPr>
          <w:sz w:val="24"/>
        </w:rPr>
        <w:t>course</w:t>
      </w:r>
      <w:r>
        <w:rPr>
          <w:spacing w:val="-7"/>
          <w:sz w:val="24"/>
        </w:rPr>
        <w:t> </w:t>
      </w:r>
      <w:r>
        <w:rPr>
          <w:sz w:val="24"/>
        </w:rPr>
        <w:t>grade</w:t>
      </w:r>
      <w:r>
        <w:rPr>
          <w:spacing w:val="-6"/>
          <w:sz w:val="24"/>
        </w:rPr>
        <w:t> </w:t>
      </w:r>
      <w:r>
        <w:rPr>
          <w:sz w:val="24"/>
        </w:rPr>
        <w:t>that</w:t>
      </w:r>
      <w:r>
        <w:rPr>
          <w:spacing w:val="-7"/>
          <w:sz w:val="24"/>
        </w:rPr>
        <w:t> </w:t>
      </w:r>
      <w:r>
        <w:rPr>
          <w:sz w:val="24"/>
        </w:rPr>
        <w:t>the</w:t>
      </w:r>
      <w:r>
        <w:rPr>
          <w:spacing w:val="-6"/>
          <w:sz w:val="24"/>
        </w:rPr>
        <w:t> </w:t>
      </w:r>
      <w:r>
        <w:rPr>
          <w:sz w:val="24"/>
        </w:rPr>
        <w:t>student</w:t>
      </w:r>
      <w:r>
        <w:rPr>
          <w:spacing w:val="-6"/>
          <w:sz w:val="24"/>
        </w:rPr>
        <w:t> </w:t>
      </w:r>
      <w:r>
        <w:rPr>
          <w:sz w:val="24"/>
        </w:rPr>
        <w:t>believes</w:t>
      </w:r>
      <w:r>
        <w:rPr>
          <w:spacing w:val="-7"/>
          <w:sz w:val="24"/>
        </w:rPr>
        <w:t> </w:t>
      </w:r>
      <w:r>
        <w:rPr>
          <w:sz w:val="24"/>
        </w:rPr>
        <w:t>was</w:t>
      </w:r>
      <w:r>
        <w:rPr>
          <w:spacing w:val="-6"/>
          <w:sz w:val="24"/>
        </w:rPr>
        <w:t> </w:t>
      </w:r>
      <w:r>
        <w:rPr>
          <w:sz w:val="24"/>
        </w:rPr>
        <w:t>based</w:t>
      </w:r>
      <w:r>
        <w:rPr>
          <w:spacing w:val="-6"/>
          <w:sz w:val="24"/>
        </w:rPr>
        <w:t> </w:t>
      </w:r>
      <w:r>
        <w:rPr>
          <w:sz w:val="24"/>
        </w:rPr>
        <w:t>on prejudice,</w:t>
      </w:r>
      <w:r>
        <w:rPr>
          <w:spacing w:val="-4"/>
          <w:sz w:val="24"/>
        </w:rPr>
        <w:t> </w:t>
      </w:r>
      <w:r>
        <w:rPr>
          <w:sz w:val="24"/>
        </w:rPr>
        <w:t>discrimination,</w:t>
      </w:r>
      <w:r>
        <w:rPr>
          <w:spacing w:val="-3"/>
          <w:sz w:val="24"/>
        </w:rPr>
        <w:t> </w:t>
      </w:r>
      <w:r>
        <w:rPr>
          <w:sz w:val="24"/>
        </w:rPr>
        <w:t>arbitrary</w:t>
      </w:r>
      <w:r>
        <w:rPr>
          <w:spacing w:val="-3"/>
          <w:sz w:val="24"/>
        </w:rPr>
        <w:t> </w:t>
      </w:r>
      <w:r>
        <w:rPr>
          <w:sz w:val="24"/>
        </w:rPr>
        <w:t>or</w:t>
      </w:r>
      <w:r>
        <w:rPr>
          <w:spacing w:val="-3"/>
          <w:sz w:val="24"/>
        </w:rPr>
        <w:t> </w:t>
      </w:r>
      <w:r>
        <w:rPr>
          <w:sz w:val="24"/>
        </w:rPr>
        <w:t>capricious</w:t>
      </w:r>
      <w:r>
        <w:rPr>
          <w:spacing w:val="-3"/>
          <w:sz w:val="24"/>
        </w:rPr>
        <w:t> </w:t>
      </w:r>
      <w:r>
        <w:rPr>
          <w:sz w:val="24"/>
        </w:rPr>
        <w:t>action,</w:t>
      </w:r>
      <w:r>
        <w:rPr>
          <w:spacing w:val="-3"/>
          <w:sz w:val="24"/>
        </w:rPr>
        <w:t> </w:t>
      </w:r>
      <w:r>
        <w:rPr>
          <w:sz w:val="24"/>
        </w:rPr>
        <w:t>or</w:t>
      </w:r>
      <w:r>
        <w:rPr>
          <w:spacing w:val="-3"/>
          <w:sz w:val="24"/>
        </w:rPr>
        <w:t> </w:t>
      </w:r>
      <w:r>
        <w:rPr>
          <w:sz w:val="24"/>
        </w:rPr>
        <w:t>some</w:t>
      </w:r>
      <w:r>
        <w:rPr>
          <w:spacing w:val="-3"/>
          <w:sz w:val="24"/>
        </w:rPr>
        <w:t> </w:t>
      </w:r>
      <w:r>
        <w:rPr>
          <w:sz w:val="24"/>
        </w:rPr>
        <w:t>other</w:t>
      </w:r>
      <w:r>
        <w:rPr>
          <w:spacing w:val="-3"/>
          <w:sz w:val="24"/>
        </w:rPr>
        <w:t> </w:t>
      </w:r>
      <w:r>
        <w:rPr>
          <w:sz w:val="24"/>
        </w:rPr>
        <w:t>reason</w:t>
      </w:r>
      <w:r>
        <w:rPr>
          <w:spacing w:val="-4"/>
          <w:sz w:val="24"/>
        </w:rPr>
        <w:t> </w:t>
      </w:r>
      <w:r>
        <w:rPr>
          <w:sz w:val="24"/>
        </w:rPr>
        <w:t>not</w:t>
      </w:r>
      <w:r>
        <w:rPr>
          <w:spacing w:val="-3"/>
          <w:sz w:val="24"/>
        </w:rPr>
        <w:t> </w:t>
      </w:r>
      <w:r>
        <w:rPr>
          <w:sz w:val="24"/>
        </w:rPr>
        <w:t>related</w:t>
      </w:r>
      <w:r>
        <w:rPr>
          <w:spacing w:val="-3"/>
          <w:sz w:val="24"/>
        </w:rPr>
        <w:t> </w:t>
      </w:r>
      <w:r>
        <w:rPr>
          <w:sz w:val="24"/>
        </w:rPr>
        <w:t>to</w:t>
      </w:r>
      <w:r>
        <w:rPr>
          <w:spacing w:val="-3"/>
          <w:sz w:val="24"/>
        </w:rPr>
        <w:t> </w:t>
      </w:r>
      <w:r>
        <w:rPr>
          <w:sz w:val="24"/>
        </w:rPr>
        <w:t>academic performance.</w:t>
      </w:r>
      <w:r>
        <w:rPr>
          <w:spacing w:val="-4"/>
          <w:sz w:val="24"/>
        </w:rPr>
        <w:t> </w:t>
      </w:r>
      <w:r>
        <w:rPr>
          <w:b/>
          <w:sz w:val="24"/>
        </w:rPr>
        <w:t>In</w:t>
      </w:r>
      <w:r>
        <w:rPr>
          <w:b/>
          <w:spacing w:val="-3"/>
          <w:sz w:val="24"/>
        </w:rPr>
        <w:t> </w:t>
      </w:r>
      <w:r>
        <w:rPr>
          <w:b/>
          <w:sz w:val="24"/>
        </w:rPr>
        <w:t>all</w:t>
      </w:r>
      <w:r>
        <w:rPr>
          <w:b/>
          <w:spacing w:val="-3"/>
          <w:sz w:val="24"/>
        </w:rPr>
        <w:t> </w:t>
      </w:r>
      <w:r>
        <w:rPr>
          <w:b/>
          <w:sz w:val="24"/>
        </w:rPr>
        <w:t>cases</w:t>
      </w:r>
      <w:r>
        <w:rPr>
          <w:b/>
          <w:spacing w:val="-3"/>
          <w:sz w:val="24"/>
        </w:rPr>
        <w:t> </w:t>
      </w:r>
      <w:r>
        <w:rPr>
          <w:b/>
          <w:sz w:val="24"/>
        </w:rPr>
        <w:t>the</w:t>
      </w:r>
      <w:r>
        <w:rPr>
          <w:b/>
          <w:spacing w:val="-4"/>
          <w:sz w:val="24"/>
        </w:rPr>
        <w:t> </w:t>
      </w:r>
      <w:r>
        <w:rPr>
          <w:b/>
          <w:sz w:val="24"/>
        </w:rPr>
        <w:t>complaining</w:t>
      </w:r>
      <w:r>
        <w:rPr>
          <w:b/>
          <w:spacing w:val="-3"/>
          <w:sz w:val="24"/>
        </w:rPr>
        <w:t> </w:t>
      </w:r>
      <w:r>
        <w:rPr>
          <w:b/>
          <w:sz w:val="24"/>
        </w:rPr>
        <w:t>student</w:t>
      </w:r>
      <w:r>
        <w:rPr>
          <w:b/>
          <w:spacing w:val="-3"/>
          <w:sz w:val="24"/>
        </w:rPr>
        <w:t> </w:t>
      </w:r>
      <w:r>
        <w:rPr>
          <w:b/>
          <w:sz w:val="24"/>
        </w:rPr>
        <w:t>shall</w:t>
      </w:r>
      <w:r>
        <w:rPr>
          <w:b/>
          <w:spacing w:val="-3"/>
          <w:sz w:val="24"/>
        </w:rPr>
        <w:t> </w:t>
      </w:r>
      <w:r>
        <w:rPr>
          <w:b/>
          <w:sz w:val="24"/>
        </w:rPr>
        <w:t>have</w:t>
      </w:r>
      <w:r>
        <w:rPr>
          <w:b/>
          <w:spacing w:val="-3"/>
          <w:sz w:val="24"/>
        </w:rPr>
        <w:t> </w:t>
      </w:r>
      <w:r>
        <w:rPr>
          <w:b/>
          <w:sz w:val="24"/>
        </w:rPr>
        <w:t>the</w:t>
      </w:r>
      <w:r>
        <w:rPr>
          <w:b/>
          <w:spacing w:val="-4"/>
          <w:sz w:val="24"/>
        </w:rPr>
        <w:t> </w:t>
      </w:r>
      <w:r>
        <w:rPr>
          <w:b/>
          <w:sz w:val="24"/>
        </w:rPr>
        <w:t>burden</w:t>
      </w:r>
      <w:r>
        <w:rPr>
          <w:b/>
          <w:spacing w:val="-4"/>
          <w:sz w:val="24"/>
        </w:rPr>
        <w:t> </w:t>
      </w:r>
      <w:r>
        <w:rPr>
          <w:b/>
          <w:sz w:val="24"/>
        </w:rPr>
        <w:t>of</w:t>
      </w:r>
      <w:r>
        <w:rPr>
          <w:b/>
          <w:spacing w:val="-3"/>
          <w:sz w:val="24"/>
        </w:rPr>
        <w:t> </w:t>
      </w:r>
      <w:r>
        <w:rPr>
          <w:b/>
          <w:sz w:val="24"/>
        </w:rPr>
        <w:t>proof</w:t>
      </w:r>
      <w:r>
        <w:rPr>
          <w:b/>
          <w:spacing w:val="-3"/>
          <w:sz w:val="24"/>
        </w:rPr>
        <w:t> </w:t>
      </w:r>
      <w:r>
        <w:rPr>
          <w:b/>
          <w:sz w:val="24"/>
        </w:rPr>
        <w:t>with</w:t>
      </w:r>
      <w:r>
        <w:rPr>
          <w:b/>
          <w:spacing w:val="-3"/>
          <w:sz w:val="24"/>
        </w:rPr>
        <w:t> </w:t>
      </w:r>
      <w:r>
        <w:rPr>
          <w:b/>
          <w:sz w:val="24"/>
        </w:rPr>
        <w:t>respect</w:t>
      </w:r>
      <w:r>
        <w:rPr>
          <w:b/>
          <w:spacing w:val="-4"/>
          <w:sz w:val="24"/>
        </w:rPr>
        <w:t> </w:t>
      </w:r>
      <w:r>
        <w:rPr>
          <w:b/>
          <w:sz w:val="24"/>
        </w:rPr>
        <w:t>to</w:t>
      </w:r>
      <w:r>
        <w:rPr>
          <w:b/>
          <w:spacing w:val="-3"/>
          <w:sz w:val="24"/>
        </w:rPr>
        <w:t> </w:t>
      </w:r>
      <w:r>
        <w:rPr>
          <w:b/>
          <w:sz w:val="24"/>
        </w:rPr>
        <w:t>the allegations in the complaint and in the request for a</w:t>
      </w:r>
      <w:r>
        <w:rPr>
          <w:b/>
          <w:spacing w:val="-3"/>
          <w:sz w:val="24"/>
        </w:rPr>
        <w:t> </w:t>
      </w:r>
      <w:r>
        <w:rPr>
          <w:b/>
          <w:sz w:val="24"/>
        </w:rPr>
        <w:t>hearing.</w:t>
      </w:r>
    </w:p>
    <w:p>
      <w:pPr>
        <w:pStyle w:val="BodyText"/>
        <w:spacing w:before="9"/>
        <w:rPr>
          <w:b/>
          <w:sz w:val="22"/>
        </w:rPr>
      </w:pPr>
    </w:p>
    <w:p>
      <w:pPr>
        <w:pStyle w:val="BodyText"/>
        <w:ind w:left="865" w:right="212"/>
        <w:jc w:val="both"/>
      </w:pPr>
      <w:r>
        <w:rPr/>
        <w:t>The student must institute the appeal process within thirty (30) class days following the University deadline for posting grades in the system. If the instructor, chair, or dean fails to respond to the student's complaint within the time limits, the Graduate Grade Appeals Committee shall act on the student’s</w:t>
      </w:r>
      <w:r>
        <w:rPr>
          <w:spacing w:val="-4"/>
        </w:rPr>
        <w:t> </w:t>
      </w:r>
      <w:r>
        <w:rPr/>
        <w:t>complaint.</w:t>
      </w:r>
      <w:r>
        <w:rPr>
          <w:spacing w:val="-4"/>
        </w:rPr>
        <w:t> </w:t>
      </w:r>
      <w:r>
        <w:rPr/>
        <w:t>The</w:t>
      </w:r>
      <w:r>
        <w:rPr>
          <w:spacing w:val="-3"/>
        </w:rPr>
        <w:t> </w:t>
      </w:r>
      <w:r>
        <w:rPr/>
        <w:t>procedure</w:t>
      </w:r>
      <w:r>
        <w:rPr>
          <w:spacing w:val="-4"/>
        </w:rPr>
        <w:t> </w:t>
      </w:r>
      <w:r>
        <w:rPr/>
        <w:t>is</w:t>
      </w:r>
      <w:r>
        <w:rPr>
          <w:spacing w:val="-3"/>
        </w:rPr>
        <w:t> </w:t>
      </w:r>
      <w:r>
        <w:rPr/>
        <w:t>terminated</w:t>
      </w:r>
      <w:r>
        <w:rPr>
          <w:spacing w:val="-4"/>
        </w:rPr>
        <w:t> </w:t>
      </w:r>
      <w:r>
        <w:rPr/>
        <w:t>if</w:t>
      </w:r>
      <w:r>
        <w:rPr>
          <w:spacing w:val="-3"/>
        </w:rPr>
        <w:t> </w:t>
      </w:r>
      <w:r>
        <w:rPr/>
        <w:t>the</w:t>
      </w:r>
      <w:r>
        <w:rPr>
          <w:spacing w:val="-4"/>
        </w:rPr>
        <w:t> </w:t>
      </w:r>
      <w:r>
        <w:rPr/>
        <w:t>student</w:t>
      </w:r>
      <w:r>
        <w:rPr>
          <w:spacing w:val="-3"/>
        </w:rPr>
        <w:t> </w:t>
      </w:r>
      <w:r>
        <w:rPr/>
        <w:t>and</w:t>
      </w:r>
      <w:r>
        <w:rPr>
          <w:spacing w:val="-4"/>
        </w:rPr>
        <w:t> </w:t>
      </w:r>
      <w:r>
        <w:rPr/>
        <w:t>the</w:t>
      </w:r>
      <w:r>
        <w:rPr>
          <w:spacing w:val="-3"/>
        </w:rPr>
        <w:t> </w:t>
      </w:r>
      <w:r>
        <w:rPr/>
        <w:t>instructor</w:t>
      </w:r>
      <w:r>
        <w:rPr>
          <w:spacing w:val="-4"/>
        </w:rPr>
        <w:t> </w:t>
      </w:r>
      <w:r>
        <w:rPr/>
        <w:t>agree</w:t>
      </w:r>
      <w:r>
        <w:rPr>
          <w:spacing w:val="-3"/>
        </w:rPr>
        <w:t> </w:t>
      </w:r>
      <w:r>
        <w:rPr/>
        <w:t>on</w:t>
      </w:r>
      <w:r>
        <w:rPr>
          <w:spacing w:val="-4"/>
        </w:rPr>
        <w:t> </w:t>
      </w:r>
      <w:r>
        <w:rPr/>
        <w:t>the</w:t>
      </w:r>
      <w:r>
        <w:rPr>
          <w:spacing w:val="-3"/>
        </w:rPr>
        <w:t> </w:t>
      </w:r>
      <w:r>
        <w:rPr/>
        <w:t>grade. If neither the student nor the instructor appeals a decision within the appropriate time limit, the disposition of the complaint made in the previous step shall </w:t>
      </w:r>
      <w:r>
        <w:rPr>
          <w:spacing w:val="2"/>
        </w:rPr>
        <w:t>befinal.</w:t>
      </w:r>
    </w:p>
    <w:p>
      <w:pPr>
        <w:pStyle w:val="BodyText"/>
        <w:spacing w:before="9"/>
        <w:rPr>
          <w:sz w:val="22"/>
        </w:rPr>
      </w:pPr>
    </w:p>
    <w:p>
      <w:pPr>
        <w:pStyle w:val="BodyText"/>
        <w:ind w:left="863" w:right="212"/>
        <w:jc w:val="both"/>
      </w:pPr>
      <w:r>
        <w:rPr/>
        <w:t>A written record of all decisions shall be kept with the file at all steps in the process. Copies of all correspondence and records shall be retained in the office in which the complaint is finally resolved.</w:t>
      </w:r>
    </w:p>
    <w:p>
      <w:pPr>
        <w:spacing w:after="0"/>
        <w:jc w:val="both"/>
        <w:sectPr>
          <w:pgSz w:w="12240" w:h="15840"/>
          <w:pgMar w:header="0" w:footer="992" w:top="1380" w:bottom="1180" w:left="300" w:right="920"/>
        </w:sectPr>
      </w:pPr>
    </w:p>
    <w:p>
      <w:pPr>
        <w:pStyle w:val="BodyText"/>
        <w:spacing w:before="73"/>
        <w:ind w:left="863"/>
        <w:jc w:val="both"/>
      </w:pPr>
      <w:r>
        <w:rPr/>
        <w:t>The original documents shall be forwarded to the Graduate School for filing.</w:t>
      </w:r>
    </w:p>
    <w:p>
      <w:pPr>
        <w:pStyle w:val="BodyText"/>
        <w:spacing w:before="9"/>
        <w:rPr>
          <w:sz w:val="22"/>
        </w:rPr>
      </w:pPr>
    </w:p>
    <w:p>
      <w:pPr>
        <w:pStyle w:val="BodyText"/>
        <w:spacing w:before="1"/>
        <w:ind w:left="865"/>
        <w:jc w:val="both"/>
      </w:pPr>
      <w:r>
        <w:rPr/>
        <w:t>All parties must carefully adhere to the following procedure, observing the deadlines.</w:t>
      </w:r>
    </w:p>
    <w:p>
      <w:pPr>
        <w:pStyle w:val="BodyText"/>
        <w:spacing w:before="2"/>
        <w:rPr>
          <w:sz w:val="23"/>
        </w:rPr>
      </w:pPr>
    </w:p>
    <w:p>
      <w:pPr>
        <w:spacing w:before="0"/>
        <w:ind w:left="865" w:right="0" w:firstLine="0"/>
        <w:jc w:val="both"/>
        <w:rPr>
          <w:sz w:val="24"/>
        </w:rPr>
      </w:pPr>
      <w:r>
        <w:rPr>
          <w:b/>
          <w:i/>
          <w:color w:val="1F497C"/>
          <w:sz w:val="24"/>
        </w:rPr>
        <w:t>Step 1: </w:t>
      </w:r>
      <w:r>
        <w:rPr>
          <w:i/>
          <w:sz w:val="24"/>
        </w:rPr>
        <w:t>Time Limitation: </w:t>
      </w:r>
      <w:r>
        <w:rPr>
          <w:sz w:val="24"/>
        </w:rPr>
        <w:t>Early enough to meet the deadline in Step 2.</w:t>
      </w:r>
    </w:p>
    <w:p>
      <w:pPr>
        <w:pStyle w:val="BodyText"/>
        <w:spacing w:before="9"/>
        <w:rPr>
          <w:sz w:val="22"/>
        </w:rPr>
      </w:pPr>
    </w:p>
    <w:p>
      <w:pPr>
        <w:pStyle w:val="BodyText"/>
        <w:spacing w:before="1"/>
        <w:ind w:left="863" w:right="211"/>
        <w:jc w:val="both"/>
      </w:pPr>
      <w:r>
        <w:rPr/>
        <w:t>The</w:t>
      </w:r>
      <w:r>
        <w:rPr>
          <w:spacing w:val="-4"/>
        </w:rPr>
        <w:t> </w:t>
      </w:r>
      <w:r>
        <w:rPr/>
        <w:t>student</w:t>
      </w:r>
      <w:r>
        <w:rPr>
          <w:spacing w:val="-4"/>
        </w:rPr>
        <w:t> </w:t>
      </w:r>
      <w:r>
        <w:rPr/>
        <w:t>shall</w:t>
      </w:r>
      <w:r>
        <w:rPr>
          <w:spacing w:val="-3"/>
        </w:rPr>
        <w:t> </w:t>
      </w:r>
      <w:r>
        <w:rPr/>
        <w:t>first</w:t>
      </w:r>
      <w:r>
        <w:rPr>
          <w:spacing w:val="-4"/>
        </w:rPr>
        <w:t> </w:t>
      </w:r>
      <w:r>
        <w:rPr/>
        <w:t>consult</w:t>
      </w:r>
      <w:r>
        <w:rPr>
          <w:spacing w:val="-3"/>
        </w:rPr>
        <w:t> </w:t>
      </w:r>
      <w:r>
        <w:rPr/>
        <w:t>with</w:t>
      </w:r>
      <w:r>
        <w:rPr>
          <w:spacing w:val="-4"/>
        </w:rPr>
        <w:t> </w:t>
      </w:r>
      <w:r>
        <w:rPr/>
        <w:t>the</w:t>
      </w:r>
      <w:r>
        <w:rPr>
          <w:spacing w:val="-3"/>
        </w:rPr>
        <w:t> </w:t>
      </w:r>
      <w:r>
        <w:rPr/>
        <w:t>instructor</w:t>
      </w:r>
      <w:r>
        <w:rPr>
          <w:spacing w:val="-4"/>
        </w:rPr>
        <w:t> </w:t>
      </w:r>
      <w:r>
        <w:rPr/>
        <w:t>in</w:t>
      </w:r>
      <w:r>
        <w:rPr>
          <w:spacing w:val="-3"/>
        </w:rPr>
        <w:t> </w:t>
      </w:r>
      <w:r>
        <w:rPr/>
        <w:t>an</w:t>
      </w:r>
      <w:r>
        <w:rPr>
          <w:spacing w:val="-4"/>
        </w:rPr>
        <w:t> </w:t>
      </w:r>
      <w:r>
        <w:rPr/>
        <w:t>effort</w:t>
      </w:r>
      <w:r>
        <w:rPr>
          <w:spacing w:val="-3"/>
        </w:rPr>
        <w:t> </w:t>
      </w:r>
      <w:r>
        <w:rPr/>
        <w:t>to</w:t>
      </w:r>
      <w:r>
        <w:rPr>
          <w:spacing w:val="-4"/>
        </w:rPr>
        <w:t> </w:t>
      </w:r>
      <w:r>
        <w:rPr/>
        <w:t>provide</w:t>
      </w:r>
      <w:r>
        <w:rPr>
          <w:spacing w:val="-3"/>
        </w:rPr>
        <w:t> </w:t>
      </w:r>
      <w:r>
        <w:rPr/>
        <w:t>a</w:t>
      </w:r>
      <w:r>
        <w:rPr>
          <w:spacing w:val="-4"/>
        </w:rPr>
        <w:t> </w:t>
      </w:r>
      <w:r>
        <w:rPr/>
        <w:t>satisfactory</w:t>
      </w:r>
      <w:r>
        <w:rPr>
          <w:spacing w:val="-3"/>
        </w:rPr>
        <w:t> </w:t>
      </w:r>
      <w:r>
        <w:rPr/>
        <w:t>resolution</w:t>
      </w:r>
      <w:r>
        <w:rPr>
          <w:spacing w:val="-4"/>
        </w:rPr>
        <w:t> </w:t>
      </w:r>
      <w:r>
        <w:rPr/>
        <w:t>of</w:t>
      </w:r>
      <w:r>
        <w:rPr>
          <w:spacing w:val="-3"/>
        </w:rPr>
        <w:t> </w:t>
      </w:r>
      <w:r>
        <w:rPr/>
        <w:t>the complaint. In the event the student cannot schedule a meeting with the instructor, the student may contact</w:t>
      </w:r>
      <w:r>
        <w:rPr>
          <w:spacing w:val="-9"/>
        </w:rPr>
        <w:t> </w:t>
      </w:r>
      <w:r>
        <w:rPr/>
        <w:t>the</w:t>
      </w:r>
      <w:r>
        <w:rPr>
          <w:spacing w:val="-8"/>
        </w:rPr>
        <w:t> </w:t>
      </w:r>
      <w:r>
        <w:rPr/>
        <w:t>department</w:t>
      </w:r>
      <w:r>
        <w:rPr>
          <w:spacing w:val="-9"/>
        </w:rPr>
        <w:t> </w:t>
      </w:r>
      <w:r>
        <w:rPr/>
        <w:t>chair,</w:t>
      </w:r>
      <w:r>
        <w:rPr>
          <w:spacing w:val="-8"/>
        </w:rPr>
        <w:t> </w:t>
      </w:r>
      <w:r>
        <w:rPr/>
        <w:t>who</w:t>
      </w:r>
      <w:r>
        <w:rPr>
          <w:spacing w:val="-9"/>
        </w:rPr>
        <w:t> </w:t>
      </w:r>
      <w:r>
        <w:rPr/>
        <w:t>shall</w:t>
      </w:r>
      <w:r>
        <w:rPr>
          <w:spacing w:val="-8"/>
        </w:rPr>
        <w:t> </w:t>
      </w:r>
      <w:r>
        <w:rPr/>
        <w:t>schedule</w:t>
      </w:r>
      <w:r>
        <w:rPr>
          <w:spacing w:val="-9"/>
        </w:rPr>
        <w:t> </w:t>
      </w:r>
      <w:r>
        <w:rPr/>
        <w:t>the</w:t>
      </w:r>
      <w:r>
        <w:rPr>
          <w:spacing w:val="-8"/>
        </w:rPr>
        <w:t> </w:t>
      </w:r>
      <w:r>
        <w:rPr/>
        <w:t>meeting</w:t>
      </w:r>
      <w:r>
        <w:rPr>
          <w:spacing w:val="-9"/>
        </w:rPr>
        <w:t> </w:t>
      </w:r>
      <w:r>
        <w:rPr/>
        <w:t>between</w:t>
      </w:r>
      <w:r>
        <w:rPr>
          <w:spacing w:val="-8"/>
        </w:rPr>
        <w:t> </w:t>
      </w:r>
      <w:r>
        <w:rPr/>
        <w:t>the</w:t>
      </w:r>
      <w:r>
        <w:rPr>
          <w:spacing w:val="-9"/>
        </w:rPr>
        <w:t> </w:t>
      </w:r>
      <w:r>
        <w:rPr/>
        <w:t>student</w:t>
      </w:r>
      <w:r>
        <w:rPr>
          <w:spacing w:val="-8"/>
        </w:rPr>
        <w:t> </w:t>
      </w:r>
      <w:r>
        <w:rPr/>
        <w:t>and</w:t>
      </w:r>
      <w:r>
        <w:rPr>
          <w:spacing w:val="-9"/>
        </w:rPr>
        <w:t> </w:t>
      </w:r>
      <w:r>
        <w:rPr/>
        <w:t>the</w:t>
      </w:r>
      <w:r>
        <w:rPr>
          <w:spacing w:val="-8"/>
        </w:rPr>
        <w:t> </w:t>
      </w:r>
      <w:r>
        <w:rPr/>
        <w:t>instructor. If</w:t>
      </w:r>
      <w:r>
        <w:rPr>
          <w:spacing w:val="-8"/>
        </w:rPr>
        <w:t> </w:t>
      </w:r>
      <w:r>
        <w:rPr/>
        <w:t>for</w:t>
      </w:r>
      <w:r>
        <w:rPr>
          <w:spacing w:val="-8"/>
        </w:rPr>
        <w:t> </w:t>
      </w:r>
      <w:r>
        <w:rPr/>
        <w:t>any</w:t>
      </w:r>
      <w:r>
        <w:rPr>
          <w:spacing w:val="-7"/>
        </w:rPr>
        <w:t> </w:t>
      </w:r>
      <w:r>
        <w:rPr/>
        <w:t>reason</w:t>
      </w:r>
      <w:r>
        <w:rPr>
          <w:spacing w:val="-8"/>
        </w:rPr>
        <w:t> </w:t>
      </w:r>
      <w:r>
        <w:rPr/>
        <w:t>the</w:t>
      </w:r>
      <w:r>
        <w:rPr>
          <w:spacing w:val="-7"/>
        </w:rPr>
        <w:t> </w:t>
      </w:r>
      <w:r>
        <w:rPr/>
        <w:t>instructor</w:t>
      </w:r>
      <w:r>
        <w:rPr>
          <w:spacing w:val="-8"/>
        </w:rPr>
        <w:t> </w:t>
      </w:r>
      <w:r>
        <w:rPr/>
        <w:t>is</w:t>
      </w:r>
      <w:r>
        <w:rPr>
          <w:spacing w:val="-7"/>
        </w:rPr>
        <w:t> </w:t>
      </w:r>
      <w:r>
        <w:rPr/>
        <w:t>not</w:t>
      </w:r>
      <w:r>
        <w:rPr>
          <w:spacing w:val="-8"/>
        </w:rPr>
        <w:t> </w:t>
      </w:r>
      <w:r>
        <w:rPr/>
        <w:t>available,</w:t>
      </w:r>
      <w:r>
        <w:rPr>
          <w:spacing w:val="-7"/>
        </w:rPr>
        <w:t> </w:t>
      </w:r>
      <w:r>
        <w:rPr/>
        <w:t>proceed</w:t>
      </w:r>
      <w:r>
        <w:rPr>
          <w:spacing w:val="-8"/>
        </w:rPr>
        <w:t> </w:t>
      </w:r>
      <w:r>
        <w:rPr/>
        <w:t>to</w:t>
      </w:r>
      <w:r>
        <w:rPr>
          <w:spacing w:val="-7"/>
        </w:rPr>
        <w:t> </w:t>
      </w:r>
      <w:r>
        <w:rPr/>
        <w:t>Step</w:t>
      </w:r>
      <w:r>
        <w:rPr>
          <w:spacing w:val="-8"/>
        </w:rPr>
        <w:t> </w:t>
      </w:r>
      <w:r>
        <w:rPr/>
        <w:t>2.</w:t>
      </w:r>
      <w:r>
        <w:rPr>
          <w:spacing w:val="-7"/>
        </w:rPr>
        <w:t> </w:t>
      </w:r>
      <w:r>
        <w:rPr/>
        <w:t>If</w:t>
      </w:r>
      <w:r>
        <w:rPr>
          <w:spacing w:val="-8"/>
        </w:rPr>
        <w:t> </w:t>
      </w:r>
      <w:r>
        <w:rPr/>
        <w:t>agreement</w:t>
      </w:r>
      <w:r>
        <w:rPr>
          <w:spacing w:val="-8"/>
        </w:rPr>
        <w:t> </w:t>
      </w:r>
      <w:r>
        <w:rPr/>
        <w:t>is</w:t>
      </w:r>
      <w:r>
        <w:rPr>
          <w:spacing w:val="-7"/>
        </w:rPr>
        <w:t> </w:t>
      </w:r>
      <w:r>
        <w:rPr/>
        <w:t>reached</w:t>
      </w:r>
      <w:r>
        <w:rPr>
          <w:spacing w:val="-8"/>
        </w:rPr>
        <w:t> </w:t>
      </w:r>
      <w:r>
        <w:rPr/>
        <w:t>between</w:t>
      </w:r>
      <w:r>
        <w:rPr>
          <w:spacing w:val="-7"/>
        </w:rPr>
        <w:t> </w:t>
      </w:r>
      <w:r>
        <w:rPr/>
        <w:t>the student and instructor, the appeal </w:t>
      </w:r>
      <w:r>
        <w:rPr>
          <w:spacing w:val="2"/>
        </w:rPr>
        <w:t>processends.</w:t>
      </w:r>
    </w:p>
    <w:p>
      <w:pPr>
        <w:pStyle w:val="BodyText"/>
        <w:spacing w:before="1"/>
        <w:rPr>
          <w:sz w:val="23"/>
        </w:rPr>
      </w:pPr>
    </w:p>
    <w:p>
      <w:pPr>
        <w:spacing w:before="0"/>
        <w:ind w:left="865" w:right="461" w:firstLine="0"/>
        <w:jc w:val="left"/>
        <w:rPr>
          <w:sz w:val="24"/>
        </w:rPr>
      </w:pPr>
      <w:r>
        <w:rPr>
          <w:b/>
          <w:i/>
          <w:color w:val="1F497C"/>
          <w:sz w:val="24"/>
        </w:rPr>
        <w:t>Step 2</w:t>
      </w:r>
      <w:r>
        <w:rPr>
          <w:sz w:val="24"/>
        </w:rPr>
        <w:t>: </w:t>
      </w:r>
      <w:r>
        <w:rPr>
          <w:i/>
          <w:sz w:val="24"/>
        </w:rPr>
        <w:t>Time Limitation: </w:t>
      </w:r>
      <w:r>
        <w:rPr>
          <w:sz w:val="24"/>
        </w:rPr>
        <w:t>Thirty (30) class days from the University deadline for posting grades in the system.</w:t>
      </w:r>
    </w:p>
    <w:p>
      <w:pPr>
        <w:pStyle w:val="BodyText"/>
        <w:spacing w:before="6"/>
        <w:rPr>
          <w:sz w:val="29"/>
        </w:rPr>
      </w:pPr>
    </w:p>
    <w:p>
      <w:pPr>
        <w:pStyle w:val="BodyText"/>
        <w:ind w:left="863" w:right="212"/>
        <w:jc w:val="both"/>
      </w:pPr>
      <w:r>
        <w:rPr/>
        <w:t>If the complaint is not resolved in Step 1, the student must complete a Graduate Grade Appeal Form (available in PDF format on the Graduate School's homepage, in the departmental office, or in the Graduate School). This form, accompanied by a written statement detailing the factual basis of the complaint along with the instructor's written rebuttal, shall be taken by the student to the chair of</w:t>
      </w:r>
      <w:r>
        <w:rPr>
          <w:spacing w:val="-25"/>
        </w:rPr>
        <w:t> </w:t>
      </w:r>
      <w:r>
        <w:rPr/>
        <w:t>the school</w:t>
      </w:r>
      <w:r>
        <w:rPr>
          <w:spacing w:val="-11"/>
        </w:rPr>
        <w:t> </w:t>
      </w:r>
      <w:r>
        <w:rPr/>
        <w:t>in</w:t>
      </w:r>
      <w:r>
        <w:rPr>
          <w:spacing w:val="-11"/>
        </w:rPr>
        <w:t> </w:t>
      </w:r>
      <w:r>
        <w:rPr/>
        <w:t>which</w:t>
      </w:r>
      <w:r>
        <w:rPr>
          <w:spacing w:val="-10"/>
        </w:rPr>
        <w:t> </w:t>
      </w:r>
      <w:r>
        <w:rPr/>
        <w:t>the</w:t>
      </w:r>
      <w:r>
        <w:rPr>
          <w:spacing w:val="-11"/>
        </w:rPr>
        <w:t> </w:t>
      </w:r>
      <w:r>
        <w:rPr/>
        <w:t>course</w:t>
      </w:r>
      <w:r>
        <w:rPr>
          <w:spacing w:val="-10"/>
        </w:rPr>
        <w:t> </w:t>
      </w:r>
      <w:r>
        <w:rPr/>
        <w:t>was</w:t>
      </w:r>
      <w:r>
        <w:rPr>
          <w:spacing w:val="-11"/>
        </w:rPr>
        <w:t> </w:t>
      </w:r>
      <w:r>
        <w:rPr/>
        <w:t>taken.</w:t>
      </w:r>
      <w:r>
        <w:rPr>
          <w:spacing w:val="-10"/>
        </w:rPr>
        <w:t> </w:t>
      </w:r>
      <w:r>
        <w:rPr/>
        <w:t>The</w:t>
      </w:r>
      <w:r>
        <w:rPr>
          <w:spacing w:val="-11"/>
        </w:rPr>
        <w:t> </w:t>
      </w:r>
      <w:r>
        <w:rPr/>
        <w:t>written</w:t>
      </w:r>
      <w:r>
        <w:rPr>
          <w:spacing w:val="-10"/>
        </w:rPr>
        <w:t> </w:t>
      </w:r>
      <w:r>
        <w:rPr/>
        <w:t>complaint</w:t>
      </w:r>
      <w:r>
        <w:rPr>
          <w:spacing w:val="-11"/>
        </w:rPr>
        <w:t> </w:t>
      </w:r>
      <w:r>
        <w:rPr/>
        <w:t>must</w:t>
      </w:r>
      <w:r>
        <w:rPr>
          <w:spacing w:val="-10"/>
        </w:rPr>
        <w:t> </w:t>
      </w:r>
      <w:r>
        <w:rPr/>
        <w:t>be</w:t>
      </w:r>
      <w:r>
        <w:rPr>
          <w:spacing w:val="-11"/>
        </w:rPr>
        <w:t> </w:t>
      </w:r>
      <w:r>
        <w:rPr/>
        <w:t>received</w:t>
      </w:r>
      <w:r>
        <w:rPr>
          <w:spacing w:val="-10"/>
        </w:rPr>
        <w:t> </w:t>
      </w:r>
      <w:r>
        <w:rPr/>
        <w:t>by</w:t>
      </w:r>
      <w:r>
        <w:rPr>
          <w:spacing w:val="-11"/>
        </w:rPr>
        <w:t> </w:t>
      </w:r>
      <w:r>
        <w:rPr/>
        <w:t>the</w:t>
      </w:r>
      <w:r>
        <w:rPr>
          <w:spacing w:val="-10"/>
        </w:rPr>
        <w:t> </w:t>
      </w:r>
      <w:r>
        <w:rPr/>
        <w:t>chair</w:t>
      </w:r>
      <w:r>
        <w:rPr>
          <w:spacing w:val="-11"/>
        </w:rPr>
        <w:t> </w:t>
      </w:r>
      <w:r>
        <w:rPr/>
        <w:t>within</w:t>
      </w:r>
      <w:r>
        <w:rPr>
          <w:spacing w:val="-10"/>
        </w:rPr>
        <w:t> </w:t>
      </w:r>
      <w:r>
        <w:rPr/>
        <w:t>thirty</w:t>
      </w:r>
    </w:p>
    <w:p>
      <w:pPr>
        <w:pStyle w:val="ListParagraph"/>
        <w:numPr>
          <w:ilvl w:val="0"/>
          <w:numId w:val="10"/>
        </w:numPr>
        <w:tabs>
          <w:tab w:pos="1326" w:val="left" w:leader="none"/>
        </w:tabs>
        <w:spacing w:line="240" w:lineRule="auto" w:before="4" w:after="0"/>
        <w:ind w:left="864" w:right="213" w:firstLine="0"/>
        <w:jc w:val="both"/>
        <w:rPr>
          <w:sz w:val="24"/>
        </w:rPr>
      </w:pPr>
      <w:r>
        <w:rPr>
          <w:sz w:val="24"/>
        </w:rPr>
        <w:t>class days from the University deadline for posting grades in the system. The department chair shall</w:t>
      </w:r>
      <w:r>
        <w:rPr>
          <w:spacing w:val="-4"/>
          <w:sz w:val="24"/>
        </w:rPr>
        <w:t> </w:t>
      </w:r>
      <w:r>
        <w:rPr>
          <w:sz w:val="24"/>
        </w:rPr>
        <w:t>then</w:t>
      </w:r>
      <w:r>
        <w:rPr>
          <w:spacing w:val="-4"/>
          <w:sz w:val="24"/>
        </w:rPr>
        <w:t> </w:t>
      </w:r>
      <w:r>
        <w:rPr>
          <w:sz w:val="24"/>
        </w:rPr>
        <w:t>address</w:t>
      </w:r>
      <w:r>
        <w:rPr>
          <w:spacing w:val="-4"/>
          <w:sz w:val="24"/>
        </w:rPr>
        <w:t> </w:t>
      </w:r>
      <w:r>
        <w:rPr>
          <w:sz w:val="24"/>
        </w:rPr>
        <w:t>the</w:t>
      </w:r>
      <w:r>
        <w:rPr>
          <w:spacing w:val="-3"/>
          <w:sz w:val="24"/>
        </w:rPr>
        <w:t> </w:t>
      </w:r>
      <w:r>
        <w:rPr>
          <w:sz w:val="24"/>
        </w:rPr>
        <w:t>complaint</w:t>
      </w:r>
      <w:r>
        <w:rPr>
          <w:spacing w:val="-4"/>
          <w:sz w:val="24"/>
        </w:rPr>
        <w:t> </w:t>
      </w:r>
      <w:r>
        <w:rPr>
          <w:sz w:val="24"/>
        </w:rPr>
        <w:t>in</w:t>
      </w:r>
      <w:r>
        <w:rPr>
          <w:spacing w:val="-4"/>
          <w:sz w:val="24"/>
        </w:rPr>
        <w:t> </w:t>
      </w:r>
      <w:r>
        <w:rPr>
          <w:sz w:val="24"/>
        </w:rPr>
        <w:t>consultation</w:t>
      </w:r>
      <w:r>
        <w:rPr>
          <w:spacing w:val="-3"/>
          <w:sz w:val="24"/>
        </w:rPr>
        <w:t> </w:t>
      </w:r>
      <w:r>
        <w:rPr>
          <w:sz w:val="24"/>
        </w:rPr>
        <w:t>with</w:t>
      </w:r>
      <w:r>
        <w:rPr>
          <w:spacing w:val="-4"/>
          <w:sz w:val="24"/>
        </w:rPr>
        <w:t> </w:t>
      </w:r>
      <w:r>
        <w:rPr>
          <w:sz w:val="24"/>
        </w:rPr>
        <w:t>the</w:t>
      </w:r>
      <w:r>
        <w:rPr>
          <w:spacing w:val="-4"/>
          <w:sz w:val="24"/>
        </w:rPr>
        <w:t> </w:t>
      </w:r>
      <w:r>
        <w:rPr>
          <w:sz w:val="24"/>
        </w:rPr>
        <w:t>instructor</w:t>
      </w:r>
      <w:r>
        <w:rPr>
          <w:spacing w:val="-4"/>
          <w:sz w:val="24"/>
        </w:rPr>
        <w:t> </w:t>
      </w:r>
      <w:r>
        <w:rPr>
          <w:sz w:val="24"/>
        </w:rPr>
        <w:t>and</w:t>
      </w:r>
      <w:r>
        <w:rPr>
          <w:spacing w:val="-3"/>
          <w:sz w:val="24"/>
        </w:rPr>
        <w:t> </w:t>
      </w:r>
      <w:r>
        <w:rPr>
          <w:sz w:val="24"/>
        </w:rPr>
        <w:t>the</w:t>
      </w:r>
      <w:r>
        <w:rPr>
          <w:spacing w:val="-4"/>
          <w:sz w:val="24"/>
        </w:rPr>
        <w:t> </w:t>
      </w:r>
      <w:r>
        <w:rPr>
          <w:sz w:val="24"/>
        </w:rPr>
        <w:t>student</w:t>
      </w:r>
      <w:r>
        <w:rPr>
          <w:spacing w:val="-4"/>
          <w:sz w:val="24"/>
        </w:rPr>
        <w:t> </w:t>
      </w:r>
      <w:r>
        <w:rPr>
          <w:sz w:val="24"/>
        </w:rPr>
        <w:t>within</w:t>
      </w:r>
      <w:r>
        <w:rPr>
          <w:spacing w:val="-3"/>
          <w:sz w:val="24"/>
        </w:rPr>
        <w:t> </w:t>
      </w:r>
      <w:r>
        <w:rPr>
          <w:sz w:val="24"/>
        </w:rPr>
        <w:t>fifteen</w:t>
      </w:r>
      <w:r>
        <w:rPr>
          <w:spacing w:val="-4"/>
          <w:sz w:val="24"/>
        </w:rPr>
        <w:t> </w:t>
      </w:r>
      <w:r>
        <w:rPr>
          <w:sz w:val="24"/>
        </w:rPr>
        <w:t>(15) class days of the date of submission of the written complaint. If the instructor is unavailable, the chair should proceed with the appeal. The department chair may utilize any resources available to resolve the grade conflict. The chair must provide a written rationale for any decision made, which shall become part of the</w:t>
      </w:r>
      <w:r>
        <w:rPr>
          <w:spacing w:val="-22"/>
          <w:sz w:val="24"/>
        </w:rPr>
        <w:t> </w:t>
      </w:r>
      <w:r>
        <w:rPr>
          <w:sz w:val="24"/>
        </w:rPr>
        <w:t>file.</w:t>
      </w:r>
    </w:p>
    <w:p>
      <w:pPr>
        <w:pStyle w:val="BodyText"/>
        <w:spacing w:before="8"/>
        <w:rPr>
          <w:sz w:val="22"/>
        </w:rPr>
      </w:pPr>
    </w:p>
    <w:p>
      <w:pPr>
        <w:pStyle w:val="BodyText"/>
        <w:spacing w:before="1"/>
        <w:ind w:left="865" w:right="217"/>
        <w:jc w:val="both"/>
      </w:pPr>
      <w:r>
        <w:rPr/>
        <w:t>If the department chair was the instructor of the course involved in the complaint, or if for any reason the chair disqualifies him/herself, the student may proceed to Step 3.</w:t>
      </w:r>
    </w:p>
    <w:p>
      <w:pPr>
        <w:pStyle w:val="BodyText"/>
        <w:spacing w:before="9"/>
        <w:rPr>
          <w:sz w:val="22"/>
        </w:rPr>
      </w:pPr>
    </w:p>
    <w:p>
      <w:pPr>
        <w:pStyle w:val="BodyText"/>
        <w:ind w:left="863" w:right="211"/>
        <w:jc w:val="both"/>
      </w:pPr>
      <w:r>
        <w:rPr/>
        <w:t>The chair is empowered to change the grade if he/she finds that the original grade was based on prejudice, discrimination, arbitrary or capricious action, or some other reason not related</w:t>
      </w:r>
      <w:r>
        <w:rPr>
          <w:spacing w:val="-30"/>
        </w:rPr>
        <w:t> </w:t>
      </w:r>
      <w:r>
        <w:rPr/>
        <w:t>to academic performance. The chair shall notify both the student and the instructor in writing of the action taken. Either the student or the instructor may appeal the chair's decision within five (5) class days by filing a written request for a hearing before the dean of the</w:t>
      </w:r>
      <w:r>
        <w:rPr>
          <w:spacing w:val="-24"/>
        </w:rPr>
        <w:t> </w:t>
      </w:r>
      <w:r>
        <w:rPr/>
        <w:t>college.</w:t>
      </w:r>
    </w:p>
    <w:p>
      <w:pPr>
        <w:pStyle w:val="BodyText"/>
        <w:spacing w:before="2"/>
        <w:rPr>
          <w:sz w:val="23"/>
        </w:rPr>
      </w:pPr>
    </w:p>
    <w:p>
      <w:pPr>
        <w:spacing w:before="0"/>
        <w:ind w:left="863" w:right="0" w:firstLine="0"/>
        <w:jc w:val="both"/>
        <w:rPr>
          <w:sz w:val="24"/>
        </w:rPr>
      </w:pPr>
      <w:r>
        <w:rPr>
          <w:b/>
          <w:i/>
          <w:color w:val="1F497C"/>
          <w:sz w:val="24"/>
        </w:rPr>
        <w:t>Step 3: </w:t>
      </w:r>
      <w:r>
        <w:rPr>
          <w:i/>
          <w:sz w:val="24"/>
        </w:rPr>
        <w:t>Time limitation: </w:t>
      </w:r>
      <w:r>
        <w:rPr>
          <w:sz w:val="24"/>
        </w:rPr>
        <w:t>Within five (5) class days after the fifteen class-day period above.</w:t>
      </w:r>
    </w:p>
    <w:p>
      <w:pPr>
        <w:pStyle w:val="BodyText"/>
        <w:spacing w:before="9"/>
        <w:rPr>
          <w:sz w:val="22"/>
        </w:rPr>
      </w:pPr>
    </w:p>
    <w:p>
      <w:pPr>
        <w:pStyle w:val="BodyText"/>
        <w:ind w:left="865" w:right="211"/>
        <w:jc w:val="both"/>
      </w:pPr>
      <w:r>
        <w:rPr/>
        <w:t>If the complaint cannot be resolved at the level of Step 2 within the prescribed fifteen (15) class days, the student or the instructor has five (5) class days to request in writing (with a copy to the Graduate School) that the chair forward the complaint to the dean of the college. The chair shall provide the dean with the Graduate Grade Appeal Form, the chair's written rebuttal, a copy of all correspondence and decisions, along with other records pertaining to the complaint.</w:t>
      </w:r>
    </w:p>
    <w:p>
      <w:pPr>
        <w:spacing w:after="0"/>
        <w:jc w:val="both"/>
        <w:sectPr>
          <w:pgSz w:w="12240" w:h="15840"/>
          <w:pgMar w:header="0" w:footer="992" w:top="1380" w:bottom="1180" w:left="300" w:right="920"/>
        </w:sectPr>
      </w:pPr>
    </w:p>
    <w:p>
      <w:pPr>
        <w:pStyle w:val="BodyText"/>
        <w:spacing w:before="73"/>
        <w:ind w:left="865" w:right="212"/>
        <w:jc w:val="both"/>
      </w:pPr>
      <w:r>
        <w:rPr/>
        <w:t>The</w:t>
      </w:r>
      <w:r>
        <w:rPr>
          <w:spacing w:val="-6"/>
        </w:rPr>
        <w:t> </w:t>
      </w:r>
      <w:r>
        <w:rPr/>
        <w:t>dean</w:t>
      </w:r>
      <w:r>
        <w:rPr>
          <w:spacing w:val="-5"/>
        </w:rPr>
        <w:t> </w:t>
      </w:r>
      <w:r>
        <w:rPr/>
        <w:t>may</w:t>
      </w:r>
      <w:r>
        <w:rPr>
          <w:spacing w:val="-6"/>
        </w:rPr>
        <w:t> </w:t>
      </w:r>
      <w:r>
        <w:rPr/>
        <w:t>utilize</w:t>
      </w:r>
      <w:r>
        <w:rPr>
          <w:spacing w:val="-5"/>
        </w:rPr>
        <w:t> </w:t>
      </w:r>
      <w:r>
        <w:rPr/>
        <w:t>any</w:t>
      </w:r>
      <w:r>
        <w:rPr>
          <w:spacing w:val="-6"/>
        </w:rPr>
        <w:t> </w:t>
      </w:r>
      <w:r>
        <w:rPr/>
        <w:t>resources</w:t>
      </w:r>
      <w:r>
        <w:rPr>
          <w:spacing w:val="-5"/>
        </w:rPr>
        <w:t> </w:t>
      </w:r>
      <w:r>
        <w:rPr/>
        <w:t>available</w:t>
      </w:r>
      <w:r>
        <w:rPr>
          <w:spacing w:val="-5"/>
        </w:rPr>
        <w:t> </w:t>
      </w:r>
      <w:r>
        <w:rPr/>
        <w:t>to</w:t>
      </w:r>
      <w:r>
        <w:rPr>
          <w:spacing w:val="-6"/>
        </w:rPr>
        <w:t> </w:t>
      </w:r>
      <w:r>
        <w:rPr/>
        <w:t>resolve</w:t>
      </w:r>
      <w:r>
        <w:rPr>
          <w:spacing w:val="-5"/>
        </w:rPr>
        <w:t> </w:t>
      </w:r>
      <w:r>
        <w:rPr/>
        <w:t>the</w:t>
      </w:r>
      <w:r>
        <w:rPr>
          <w:spacing w:val="-6"/>
        </w:rPr>
        <w:t> </w:t>
      </w:r>
      <w:r>
        <w:rPr/>
        <w:t>grade</w:t>
      </w:r>
      <w:r>
        <w:rPr>
          <w:spacing w:val="-5"/>
        </w:rPr>
        <w:t> </w:t>
      </w:r>
      <w:r>
        <w:rPr/>
        <w:t>conflict</w:t>
      </w:r>
      <w:r>
        <w:rPr>
          <w:spacing w:val="-6"/>
        </w:rPr>
        <w:t> </w:t>
      </w:r>
      <w:r>
        <w:rPr/>
        <w:t>within</w:t>
      </w:r>
      <w:r>
        <w:rPr>
          <w:spacing w:val="-5"/>
        </w:rPr>
        <w:t> </w:t>
      </w:r>
      <w:r>
        <w:rPr/>
        <w:t>fifteen</w:t>
      </w:r>
      <w:r>
        <w:rPr>
          <w:spacing w:val="-5"/>
        </w:rPr>
        <w:t> </w:t>
      </w:r>
      <w:r>
        <w:rPr/>
        <w:t>(15)</w:t>
      </w:r>
      <w:r>
        <w:rPr>
          <w:spacing w:val="-6"/>
        </w:rPr>
        <w:t> </w:t>
      </w:r>
      <w:r>
        <w:rPr/>
        <w:t>class</w:t>
      </w:r>
      <w:r>
        <w:rPr>
          <w:spacing w:val="-5"/>
        </w:rPr>
        <w:t> </w:t>
      </w:r>
      <w:r>
        <w:rPr/>
        <w:t>days. If</w:t>
      </w:r>
      <w:r>
        <w:rPr>
          <w:spacing w:val="-3"/>
        </w:rPr>
        <w:t> </w:t>
      </w:r>
      <w:r>
        <w:rPr/>
        <w:t>the</w:t>
      </w:r>
      <w:r>
        <w:rPr>
          <w:spacing w:val="-2"/>
        </w:rPr>
        <w:t> </w:t>
      </w:r>
      <w:r>
        <w:rPr/>
        <w:t>dean</w:t>
      </w:r>
      <w:r>
        <w:rPr>
          <w:spacing w:val="-2"/>
        </w:rPr>
        <w:t> </w:t>
      </w:r>
      <w:r>
        <w:rPr/>
        <w:t>finds</w:t>
      </w:r>
      <w:r>
        <w:rPr>
          <w:spacing w:val="-4"/>
        </w:rPr>
        <w:t> </w:t>
      </w:r>
      <w:r>
        <w:rPr/>
        <w:t>that</w:t>
      </w:r>
      <w:r>
        <w:rPr>
          <w:spacing w:val="-3"/>
        </w:rPr>
        <w:t> </w:t>
      </w:r>
      <w:r>
        <w:rPr/>
        <w:t>the</w:t>
      </w:r>
      <w:r>
        <w:rPr>
          <w:spacing w:val="-2"/>
        </w:rPr>
        <w:t> </w:t>
      </w:r>
      <w:r>
        <w:rPr/>
        <w:t>request</w:t>
      </w:r>
      <w:r>
        <w:rPr>
          <w:spacing w:val="-2"/>
        </w:rPr>
        <w:t> </w:t>
      </w:r>
      <w:r>
        <w:rPr/>
        <w:t>lacks</w:t>
      </w:r>
      <w:r>
        <w:rPr>
          <w:spacing w:val="-4"/>
        </w:rPr>
        <w:t> </w:t>
      </w:r>
      <w:r>
        <w:rPr/>
        <w:t>merit,</w:t>
      </w:r>
      <w:r>
        <w:rPr>
          <w:spacing w:val="-3"/>
        </w:rPr>
        <w:t> </w:t>
      </w:r>
      <w:r>
        <w:rPr/>
        <w:t>he</w:t>
      </w:r>
      <w:r>
        <w:rPr>
          <w:spacing w:val="-2"/>
        </w:rPr>
        <w:t> </w:t>
      </w:r>
      <w:r>
        <w:rPr/>
        <w:t>or</w:t>
      </w:r>
      <w:r>
        <w:rPr>
          <w:spacing w:val="-3"/>
        </w:rPr>
        <w:t> </w:t>
      </w:r>
      <w:r>
        <w:rPr/>
        <w:t>she</w:t>
      </w:r>
      <w:r>
        <w:rPr>
          <w:spacing w:val="-3"/>
        </w:rPr>
        <w:t> </w:t>
      </w:r>
      <w:r>
        <w:rPr/>
        <w:t>shall</w:t>
      </w:r>
      <w:r>
        <w:rPr>
          <w:spacing w:val="-2"/>
        </w:rPr>
        <w:t> </w:t>
      </w:r>
      <w:r>
        <w:rPr/>
        <w:t>notify</w:t>
      </w:r>
      <w:r>
        <w:rPr>
          <w:spacing w:val="-3"/>
        </w:rPr>
        <w:t> </w:t>
      </w:r>
      <w:r>
        <w:rPr/>
        <w:t>the</w:t>
      </w:r>
      <w:r>
        <w:rPr>
          <w:spacing w:val="-2"/>
        </w:rPr>
        <w:t> </w:t>
      </w:r>
      <w:r>
        <w:rPr/>
        <w:t>student,</w:t>
      </w:r>
      <w:r>
        <w:rPr>
          <w:spacing w:val="-4"/>
        </w:rPr>
        <w:t> </w:t>
      </w:r>
      <w:r>
        <w:rPr/>
        <w:t>the</w:t>
      </w:r>
      <w:r>
        <w:rPr>
          <w:spacing w:val="-2"/>
        </w:rPr>
        <w:t> </w:t>
      </w:r>
      <w:r>
        <w:rPr/>
        <w:t>instructor,</w:t>
      </w:r>
      <w:r>
        <w:rPr>
          <w:spacing w:val="-3"/>
        </w:rPr>
        <w:t> </w:t>
      </w:r>
      <w:r>
        <w:rPr/>
        <w:t>and</w:t>
      </w:r>
      <w:r>
        <w:rPr>
          <w:spacing w:val="-2"/>
        </w:rPr>
        <w:t> </w:t>
      </w:r>
      <w:r>
        <w:rPr/>
        <w:t>the chair in writing; the grade shall remain as recorded. The dean is empowered to change the grade if he/she finds that the original grade was based on prejudice, discrimination, arbitrary or capricious action, or some other reason not related to academic performance. Otherwise the grade shall remain as</w:t>
      </w:r>
      <w:r>
        <w:rPr>
          <w:spacing w:val="-10"/>
        </w:rPr>
        <w:t> </w:t>
      </w:r>
      <w:r>
        <w:rPr/>
        <w:t>recorded.</w:t>
      </w:r>
      <w:r>
        <w:rPr>
          <w:spacing w:val="-10"/>
        </w:rPr>
        <w:t> </w:t>
      </w:r>
      <w:r>
        <w:rPr/>
        <w:t>The</w:t>
      </w:r>
      <w:r>
        <w:rPr>
          <w:spacing w:val="-9"/>
        </w:rPr>
        <w:t> </w:t>
      </w:r>
      <w:r>
        <w:rPr/>
        <w:t>dean</w:t>
      </w:r>
      <w:r>
        <w:rPr>
          <w:spacing w:val="-10"/>
        </w:rPr>
        <w:t> </w:t>
      </w:r>
      <w:r>
        <w:rPr/>
        <w:t>must</w:t>
      </w:r>
      <w:r>
        <w:rPr>
          <w:spacing w:val="-10"/>
        </w:rPr>
        <w:t> </w:t>
      </w:r>
      <w:r>
        <w:rPr/>
        <w:t>provide</w:t>
      </w:r>
      <w:r>
        <w:rPr>
          <w:spacing w:val="-9"/>
        </w:rPr>
        <w:t> </w:t>
      </w:r>
      <w:r>
        <w:rPr/>
        <w:t>a</w:t>
      </w:r>
      <w:r>
        <w:rPr>
          <w:spacing w:val="-10"/>
        </w:rPr>
        <w:t> </w:t>
      </w:r>
      <w:r>
        <w:rPr/>
        <w:t>written</w:t>
      </w:r>
      <w:r>
        <w:rPr>
          <w:spacing w:val="-9"/>
        </w:rPr>
        <w:t> </w:t>
      </w:r>
      <w:r>
        <w:rPr/>
        <w:t>rationale</w:t>
      </w:r>
      <w:r>
        <w:rPr>
          <w:spacing w:val="-10"/>
        </w:rPr>
        <w:t> </w:t>
      </w:r>
      <w:r>
        <w:rPr/>
        <w:t>for</w:t>
      </w:r>
      <w:r>
        <w:rPr>
          <w:spacing w:val="-10"/>
        </w:rPr>
        <w:t> </w:t>
      </w:r>
      <w:r>
        <w:rPr/>
        <w:t>any</w:t>
      </w:r>
      <w:r>
        <w:rPr>
          <w:spacing w:val="-9"/>
        </w:rPr>
        <w:t> </w:t>
      </w:r>
      <w:r>
        <w:rPr/>
        <w:t>decision</w:t>
      </w:r>
      <w:r>
        <w:rPr>
          <w:spacing w:val="-10"/>
        </w:rPr>
        <w:t> </w:t>
      </w:r>
      <w:r>
        <w:rPr/>
        <w:t>made,</w:t>
      </w:r>
      <w:r>
        <w:rPr>
          <w:spacing w:val="-9"/>
        </w:rPr>
        <w:t> </w:t>
      </w:r>
      <w:r>
        <w:rPr/>
        <w:t>which</w:t>
      </w:r>
      <w:r>
        <w:rPr>
          <w:spacing w:val="-10"/>
        </w:rPr>
        <w:t> </w:t>
      </w:r>
      <w:r>
        <w:rPr/>
        <w:t>shall</w:t>
      </w:r>
      <w:r>
        <w:rPr>
          <w:spacing w:val="-10"/>
        </w:rPr>
        <w:t> </w:t>
      </w:r>
      <w:r>
        <w:rPr/>
        <w:t>become</w:t>
      </w:r>
      <w:r>
        <w:rPr>
          <w:spacing w:val="-9"/>
        </w:rPr>
        <w:t> </w:t>
      </w:r>
      <w:r>
        <w:rPr/>
        <w:t>part of the</w:t>
      </w:r>
      <w:r>
        <w:rPr>
          <w:spacing w:val="-1"/>
        </w:rPr>
        <w:t> </w:t>
      </w:r>
      <w:r>
        <w:rPr/>
        <w:t>file.</w:t>
      </w:r>
    </w:p>
    <w:p>
      <w:pPr>
        <w:pStyle w:val="BodyText"/>
        <w:spacing w:before="8"/>
        <w:rPr>
          <w:sz w:val="22"/>
        </w:rPr>
      </w:pPr>
    </w:p>
    <w:p>
      <w:pPr>
        <w:pStyle w:val="BodyText"/>
        <w:spacing w:before="1"/>
        <w:ind w:left="865" w:right="213"/>
        <w:jc w:val="both"/>
      </w:pPr>
      <w:r>
        <w:rPr/>
        <w:t>Either the student or the instructor may appeal the dean's decision within five (5) class days by filing a written</w:t>
      </w:r>
      <w:r>
        <w:rPr>
          <w:spacing w:val="-7"/>
        </w:rPr>
        <w:t> </w:t>
      </w:r>
      <w:r>
        <w:rPr/>
        <w:t>request</w:t>
      </w:r>
      <w:r>
        <w:rPr>
          <w:spacing w:val="-7"/>
        </w:rPr>
        <w:t> </w:t>
      </w:r>
      <w:r>
        <w:rPr/>
        <w:t>for</w:t>
      </w:r>
      <w:r>
        <w:rPr>
          <w:spacing w:val="-6"/>
        </w:rPr>
        <w:t> </w:t>
      </w:r>
      <w:r>
        <w:rPr/>
        <w:t>a</w:t>
      </w:r>
      <w:r>
        <w:rPr>
          <w:spacing w:val="-7"/>
        </w:rPr>
        <w:t> </w:t>
      </w:r>
      <w:r>
        <w:rPr/>
        <w:t>hearing</w:t>
      </w:r>
      <w:r>
        <w:rPr>
          <w:spacing w:val="-7"/>
        </w:rPr>
        <w:t> </w:t>
      </w:r>
      <w:r>
        <w:rPr/>
        <w:t>before</w:t>
      </w:r>
      <w:r>
        <w:rPr>
          <w:spacing w:val="-6"/>
        </w:rPr>
        <w:t> </w:t>
      </w:r>
      <w:r>
        <w:rPr/>
        <w:t>the</w:t>
      </w:r>
      <w:r>
        <w:rPr>
          <w:spacing w:val="-7"/>
        </w:rPr>
        <w:t> </w:t>
      </w:r>
      <w:r>
        <w:rPr/>
        <w:t>Graduate</w:t>
      </w:r>
      <w:r>
        <w:rPr>
          <w:spacing w:val="-7"/>
        </w:rPr>
        <w:t> </w:t>
      </w:r>
      <w:r>
        <w:rPr/>
        <w:t>Grade</w:t>
      </w:r>
      <w:r>
        <w:rPr>
          <w:spacing w:val="-6"/>
        </w:rPr>
        <w:t> </w:t>
      </w:r>
      <w:r>
        <w:rPr/>
        <w:t>Appeals</w:t>
      </w:r>
      <w:r>
        <w:rPr>
          <w:spacing w:val="-7"/>
        </w:rPr>
        <w:t> </w:t>
      </w:r>
      <w:r>
        <w:rPr/>
        <w:t>Committee</w:t>
      </w:r>
      <w:r>
        <w:rPr>
          <w:spacing w:val="-7"/>
        </w:rPr>
        <w:t> </w:t>
      </w:r>
      <w:r>
        <w:rPr/>
        <w:t>with</w:t>
      </w:r>
      <w:r>
        <w:rPr>
          <w:spacing w:val="-6"/>
        </w:rPr>
        <w:t> </w:t>
      </w:r>
      <w:r>
        <w:rPr/>
        <w:t>the</w:t>
      </w:r>
      <w:r>
        <w:rPr>
          <w:spacing w:val="-7"/>
        </w:rPr>
        <w:t> </w:t>
      </w:r>
      <w:r>
        <w:rPr/>
        <w:t>Vice</w:t>
      </w:r>
      <w:r>
        <w:rPr>
          <w:spacing w:val="-7"/>
        </w:rPr>
        <w:t> </w:t>
      </w:r>
      <w:r>
        <w:rPr/>
        <w:t>Provost</w:t>
      </w:r>
      <w:r>
        <w:rPr>
          <w:spacing w:val="42"/>
        </w:rPr>
        <w:t> </w:t>
      </w:r>
      <w:r>
        <w:rPr/>
        <w:t>for Graduate</w:t>
      </w:r>
      <w:r>
        <w:rPr>
          <w:spacing w:val="-9"/>
        </w:rPr>
        <w:t> </w:t>
      </w:r>
      <w:r>
        <w:rPr/>
        <w:t>Studies</w:t>
      </w:r>
      <w:r>
        <w:rPr>
          <w:spacing w:val="-8"/>
        </w:rPr>
        <w:t> </w:t>
      </w:r>
      <w:r>
        <w:rPr/>
        <w:t>or</w:t>
      </w:r>
      <w:r>
        <w:rPr>
          <w:spacing w:val="-8"/>
        </w:rPr>
        <w:t> </w:t>
      </w:r>
      <w:r>
        <w:rPr/>
        <w:t>designee.</w:t>
      </w:r>
      <w:r>
        <w:rPr>
          <w:spacing w:val="-9"/>
        </w:rPr>
        <w:t> </w:t>
      </w:r>
      <w:r>
        <w:rPr/>
        <w:t>This</w:t>
      </w:r>
      <w:r>
        <w:rPr>
          <w:spacing w:val="-8"/>
        </w:rPr>
        <w:t> </w:t>
      </w:r>
      <w:r>
        <w:rPr/>
        <w:t>request</w:t>
      </w:r>
      <w:r>
        <w:rPr>
          <w:spacing w:val="-8"/>
        </w:rPr>
        <w:t> </w:t>
      </w:r>
      <w:r>
        <w:rPr/>
        <w:t>must</w:t>
      </w:r>
      <w:r>
        <w:rPr>
          <w:spacing w:val="-8"/>
        </w:rPr>
        <w:t> </w:t>
      </w:r>
      <w:r>
        <w:rPr/>
        <w:t>be</w:t>
      </w:r>
      <w:r>
        <w:rPr>
          <w:spacing w:val="-9"/>
        </w:rPr>
        <w:t> </w:t>
      </w:r>
      <w:r>
        <w:rPr/>
        <w:t>accompanied</w:t>
      </w:r>
      <w:r>
        <w:rPr>
          <w:spacing w:val="-8"/>
        </w:rPr>
        <w:t> </w:t>
      </w:r>
      <w:r>
        <w:rPr/>
        <w:t>by</w:t>
      </w:r>
      <w:r>
        <w:rPr>
          <w:spacing w:val="-8"/>
        </w:rPr>
        <w:t> </w:t>
      </w:r>
      <w:r>
        <w:rPr/>
        <w:t>the</w:t>
      </w:r>
      <w:r>
        <w:rPr>
          <w:spacing w:val="-9"/>
        </w:rPr>
        <w:t> </w:t>
      </w:r>
      <w:r>
        <w:rPr/>
        <w:t>Graduate</w:t>
      </w:r>
      <w:r>
        <w:rPr>
          <w:spacing w:val="-8"/>
        </w:rPr>
        <w:t> </w:t>
      </w:r>
      <w:r>
        <w:rPr/>
        <w:t>Grade</w:t>
      </w:r>
      <w:r>
        <w:rPr>
          <w:spacing w:val="-8"/>
        </w:rPr>
        <w:t> </w:t>
      </w:r>
      <w:r>
        <w:rPr/>
        <w:t>Appeal</w:t>
      </w:r>
      <w:r>
        <w:rPr>
          <w:spacing w:val="-8"/>
        </w:rPr>
        <w:t> </w:t>
      </w:r>
      <w:r>
        <w:rPr/>
        <w:t>Form, a copy of all correspondence, including the dean's written recommendation, and other records pertaining to the</w:t>
      </w:r>
      <w:r>
        <w:rPr>
          <w:spacing w:val="-7"/>
        </w:rPr>
        <w:t> </w:t>
      </w:r>
      <w:r>
        <w:rPr/>
        <w:t>complaint.</w:t>
      </w:r>
    </w:p>
    <w:p>
      <w:pPr>
        <w:pStyle w:val="BodyText"/>
        <w:spacing w:before="8"/>
        <w:rPr>
          <w:sz w:val="22"/>
        </w:rPr>
      </w:pPr>
    </w:p>
    <w:p>
      <w:pPr>
        <w:spacing w:before="1"/>
        <w:ind w:left="865" w:right="0" w:firstLine="0"/>
        <w:jc w:val="both"/>
        <w:rPr>
          <w:sz w:val="24"/>
        </w:rPr>
      </w:pPr>
      <w:r>
        <w:rPr>
          <w:b/>
          <w:i/>
          <w:color w:val="1F497C"/>
          <w:sz w:val="24"/>
        </w:rPr>
        <w:t>Step 4: </w:t>
      </w:r>
      <w:r>
        <w:rPr>
          <w:i/>
          <w:sz w:val="24"/>
        </w:rPr>
        <w:t>Time limitation: </w:t>
      </w:r>
      <w:r>
        <w:rPr>
          <w:sz w:val="24"/>
        </w:rPr>
        <w:t>Within five (5) class days after the fifteen (15) class-day period above.</w:t>
      </w:r>
    </w:p>
    <w:p>
      <w:pPr>
        <w:pStyle w:val="BodyText"/>
        <w:spacing w:before="10"/>
        <w:rPr>
          <w:sz w:val="29"/>
        </w:rPr>
      </w:pPr>
    </w:p>
    <w:p>
      <w:pPr>
        <w:pStyle w:val="BodyText"/>
        <w:ind w:left="865" w:right="212"/>
        <w:jc w:val="both"/>
      </w:pPr>
      <w:r>
        <w:rPr/>
        <w:t>The written request for a hearing before the Graduate Grade Appeals Committee should state the factual basis for the appeal of the results of Step 3. All supporting documents, including the Graduate Grade Appeal Form, should be included at the time of submission.</w:t>
      </w:r>
    </w:p>
    <w:p>
      <w:pPr>
        <w:pStyle w:val="BodyText"/>
        <w:spacing w:before="9"/>
        <w:rPr>
          <w:sz w:val="22"/>
        </w:rPr>
      </w:pPr>
    </w:p>
    <w:p>
      <w:pPr>
        <w:pStyle w:val="BodyText"/>
        <w:spacing w:before="1"/>
        <w:ind w:left="865" w:right="212"/>
        <w:jc w:val="both"/>
      </w:pPr>
      <w:r>
        <w:rPr/>
        <w:t>The Vice Provost for Graduate Studies shall forward the request to the chair of the Graduate Grade Appeals Committee. The chair shall subsequently distribute copies of the request to the members of the</w:t>
      </w:r>
      <w:r>
        <w:rPr>
          <w:spacing w:val="-13"/>
        </w:rPr>
        <w:t> </w:t>
      </w:r>
      <w:r>
        <w:rPr/>
        <w:t>committee</w:t>
      </w:r>
      <w:r>
        <w:rPr>
          <w:spacing w:val="-13"/>
        </w:rPr>
        <w:t> </w:t>
      </w:r>
      <w:r>
        <w:rPr/>
        <w:t>for</w:t>
      </w:r>
      <w:r>
        <w:rPr>
          <w:spacing w:val="-13"/>
        </w:rPr>
        <w:t> </w:t>
      </w:r>
      <w:r>
        <w:rPr/>
        <w:t>consideration.</w:t>
      </w:r>
      <w:r>
        <w:rPr>
          <w:spacing w:val="-13"/>
        </w:rPr>
        <w:t> </w:t>
      </w:r>
      <w:r>
        <w:rPr/>
        <w:t>If</w:t>
      </w:r>
      <w:r>
        <w:rPr>
          <w:spacing w:val="-12"/>
        </w:rPr>
        <w:t> </w:t>
      </w:r>
      <w:r>
        <w:rPr/>
        <w:t>the</w:t>
      </w:r>
      <w:r>
        <w:rPr>
          <w:spacing w:val="-13"/>
        </w:rPr>
        <w:t> </w:t>
      </w:r>
      <w:r>
        <w:rPr/>
        <w:t>Committee</w:t>
      </w:r>
      <w:r>
        <w:rPr>
          <w:spacing w:val="-13"/>
        </w:rPr>
        <w:t> </w:t>
      </w:r>
      <w:r>
        <w:rPr/>
        <w:t>finds</w:t>
      </w:r>
      <w:r>
        <w:rPr>
          <w:spacing w:val="-13"/>
        </w:rPr>
        <w:t> </w:t>
      </w:r>
      <w:r>
        <w:rPr/>
        <w:t>the</w:t>
      </w:r>
      <w:r>
        <w:rPr>
          <w:spacing w:val="-12"/>
        </w:rPr>
        <w:t> </w:t>
      </w:r>
      <w:r>
        <w:rPr/>
        <w:t>student's</w:t>
      </w:r>
      <w:r>
        <w:rPr>
          <w:spacing w:val="-13"/>
        </w:rPr>
        <w:t> </w:t>
      </w:r>
      <w:r>
        <w:rPr/>
        <w:t>or</w:t>
      </w:r>
      <w:r>
        <w:rPr>
          <w:spacing w:val="-13"/>
        </w:rPr>
        <w:t> </w:t>
      </w:r>
      <w:r>
        <w:rPr/>
        <w:t>the</w:t>
      </w:r>
      <w:r>
        <w:rPr>
          <w:spacing w:val="-13"/>
        </w:rPr>
        <w:t> </w:t>
      </w:r>
      <w:r>
        <w:rPr/>
        <w:t>instructor's</w:t>
      </w:r>
      <w:r>
        <w:rPr>
          <w:spacing w:val="-12"/>
        </w:rPr>
        <w:t> </w:t>
      </w:r>
      <w:r>
        <w:rPr/>
        <w:t>request</w:t>
      </w:r>
      <w:r>
        <w:rPr>
          <w:spacing w:val="-13"/>
        </w:rPr>
        <w:t> </w:t>
      </w:r>
      <w:r>
        <w:rPr/>
        <w:t>merits a</w:t>
      </w:r>
      <w:r>
        <w:rPr>
          <w:spacing w:val="-6"/>
        </w:rPr>
        <w:t> </w:t>
      </w:r>
      <w:r>
        <w:rPr/>
        <w:t>hearing,</w:t>
      </w:r>
      <w:r>
        <w:rPr>
          <w:spacing w:val="-5"/>
        </w:rPr>
        <w:t> </w:t>
      </w:r>
      <w:r>
        <w:rPr/>
        <w:t>the</w:t>
      </w:r>
      <w:r>
        <w:rPr>
          <w:spacing w:val="-6"/>
        </w:rPr>
        <w:t> </w:t>
      </w:r>
      <w:r>
        <w:rPr/>
        <w:t>Committee</w:t>
      </w:r>
      <w:r>
        <w:rPr>
          <w:spacing w:val="-5"/>
        </w:rPr>
        <w:t> </w:t>
      </w:r>
      <w:r>
        <w:rPr/>
        <w:t>shall</w:t>
      </w:r>
      <w:r>
        <w:rPr>
          <w:spacing w:val="-5"/>
        </w:rPr>
        <w:t> </w:t>
      </w:r>
      <w:r>
        <w:rPr/>
        <w:t>notify</w:t>
      </w:r>
      <w:r>
        <w:rPr>
          <w:spacing w:val="-6"/>
        </w:rPr>
        <w:t> </w:t>
      </w:r>
      <w:r>
        <w:rPr/>
        <w:t>the</w:t>
      </w:r>
      <w:r>
        <w:rPr>
          <w:spacing w:val="-5"/>
        </w:rPr>
        <w:t> </w:t>
      </w:r>
      <w:r>
        <w:rPr/>
        <w:t>student,</w:t>
      </w:r>
      <w:r>
        <w:rPr>
          <w:spacing w:val="-6"/>
        </w:rPr>
        <w:t> </w:t>
      </w:r>
      <w:r>
        <w:rPr/>
        <w:t>the</w:t>
      </w:r>
      <w:r>
        <w:rPr>
          <w:spacing w:val="-5"/>
        </w:rPr>
        <w:t> </w:t>
      </w:r>
      <w:r>
        <w:rPr/>
        <w:t>instructor,</w:t>
      </w:r>
      <w:r>
        <w:rPr>
          <w:spacing w:val="-6"/>
        </w:rPr>
        <w:t> </w:t>
      </w:r>
      <w:r>
        <w:rPr/>
        <w:t>the</w:t>
      </w:r>
      <w:r>
        <w:rPr>
          <w:spacing w:val="-5"/>
        </w:rPr>
        <w:t> </w:t>
      </w:r>
      <w:r>
        <w:rPr/>
        <w:t>chair,</w:t>
      </w:r>
      <w:r>
        <w:rPr>
          <w:spacing w:val="-5"/>
        </w:rPr>
        <w:t> </w:t>
      </w:r>
      <w:r>
        <w:rPr/>
        <w:t>and</w:t>
      </w:r>
      <w:r>
        <w:rPr>
          <w:spacing w:val="-6"/>
        </w:rPr>
        <w:t> </w:t>
      </w:r>
      <w:r>
        <w:rPr/>
        <w:t>the</w:t>
      </w:r>
      <w:r>
        <w:rPr>
          <w:spacing w:val="-5"/>
        </w:rPr>
        <w:t> </w:t>
      </w:r>
      <w:r>
        <w:rPr/>
        <w:t>college</w:t>
      </w:r>
      <w:r>
        <w:rPr>
          <w:spacing w:val="-6"/>
        </w:rPr>
        <w:t> </w:t>
      </w:r>
      <w:r>
        <w:rPr/>
        <w:t>dean</w:t>
      </w:r>
      <w:r>
        <w:rPr>
          <w:spacing w:val="-5"/>
        </w:rPr>
        <w:t> </w:t>
      </w:r>
      <w:r>
        <w:rPr/>
        <w:t>of</w:t>
      </w:r>
      <w:r>
        <w:rPr>
          <w:spacing w:val="-5"/>
        </w:rPr>
        <w:t> </w:t>
      </w:r>
      <w:r>
        <w:rPr/>
        <w:t>the date, time, and the location of the hearing. If the Committee finds that the request does not merit a hearing, the student, the instructor, the chair, and the dean shall be so notified in</w:t>
      </w:r>
      <w:r>
        <w:rPr>
          <w:spacing w:val="-3"/>
        </w:rPr>
        <w:t> </w:t>
      </w:r>
      <w:r>
        <w:rPr/>
        <w:t>writing.</w:t>
      </w:r>
    </w:p>
    <w:p>
      <w:pPr>
        <w:pStyle w:val="BodyText"/>
        <w:spacing w:before="1"/>
        <w:rPr>
          <w:sz w:val="23"/>
        </w:rPr>
      </w:pPr>
    </w:p>
    <w:p>
      <w:pPr>
        <w:pStyle w:val="BodyText"/>
        <w:ind w:left="863" w:right="214"/>
        <w:jc w:val="both"/>
      </w:pPr>
      <w:r>
        <w:rPr/>
        <w:t>The Graduate Grade Appeals Committee may utilize any available resources to resolve the conflict within fifteen (15) class days. To hold a hearing, the seven (7) members of the committee (or appropriate alternates) must be present. The instructor and student will present their cases at the hearing in each other’s presence. If a majority of the Committee agrees that the grade should be changed because it was based on prejudice, discrimination, arbitrary or capricious action, or some other reason not related to academic performance, the Committee shall notify the Vice Provost for Graduate</w:t>
      </w:r>
      <w:r>
        <w:rPr>
          <w:spacing w:val="-6"/>
        </w:rPr>
        <w:t> </w:t>
      </w:r>
      <w:r>
        <w:rPr/>
        <w:t>Studies,</w:t>
      </w:r>
      <w:r>
        <w:rPr>
          <w:spacing w:val="-6"/>
        </w:rPr>
        <w:t> </w:t>
      </w:r>
      <w:r>
        <w:rPr/>
        <w:t>who</w:t>
      </w:r>
      <w:r>
        <w:rPr>
          <w:spacing w:val="-5"/>
        </w:rPr>
        <w:t> </w:t>
      </w:r>
      <w:r>
        <w:rPr/>
        <w:t>shall</w:t>
      </w:r>
      <w:r>
        <w:rPr>
          <w:spacing w:val="-6"/>
        </w:rPr>
        <w:t> </w:t>
      </w:r>
      <w:r>
        <w:rPr/>
        <w:t>be</w:t>
      </w:r>
      <w:r>
        <w:rPr>
          <w:spacing w:val="-5"/>
        </w:rPr>
        <w:t> </w:t>
      </w:r>
      <w:r>
        <w:rPr/>
        <w:t>empowered</w:t>
      </w:r>
      <w:r>
        <w:rPr>
          <w:spacing w:val="-6"/>
        </w:rPr>
        <w:t> </w:t>
      </w:r>
      <w:r>
        <w:rPr/>
        <w:t>to</w:t>
      </w:r>
      <w:r>
        <w:rPr>
          <w:spacing w:val="-4"/>
        </w:rPr>
        <w:t> </w:t>
      </w:r>
      <w:r>
        <w:rPr/>
        <w:t>change</w:t>
      </w:r>
      <w:r>
        <w:rPr>
          <w:spacing w:val="-6"/>
        </w:rPr>
        <w:t> </w:t>
      </w:r>
      <w:r>
        <w:rPr/>
        <w:t>the</w:t>
      </w:r>
      <w:r>
        <w:rPr>
          <w:spacing w:val="-5"/>
        </w:rPr>
        <w:t> </w:t>
      </w:r>
      <w:r>
        <w:rPr/>
        <w:t>grade</w:t>
      </w:r>
      <w:r>
        <w:rPr>
          <w:spacing w:val="-6"/>
        </w:rPr>
        <w:t> </w:t>
      </w:r>
      <w:r>
        <w:rPr/>
        <w:t>without</w:t>
      </w:r>
      <w:r>
        <w:rPr>
          <w:spacing w:val="-5"/>
        </w:rPr>
        <w:t> </w:t>
      </w:r>
      <w:r>
        <w:rPr/>
        <w:t>the</w:t>
      </w:r>
      <w:r>
        <w:rPr>
          <w:spacing w:val="-6"/>
        </w:rPr>
        <w:t> </w:t>
      </w:r>
      <w:r>
        <w:rPr/>
        <w:t>consent</w:t>
      </w:r>
      <w:r>
        <w:rPr>
          <w:spacing w:val="-4"/>
        </w:rPr>
        <w:t> </w:t>
      </w:r>
      <w:r>
        <w:rPr/>
        <w:t>of</w:t>
      </w:r>
      <w:r>
        <w:rPr>
          <w:spacing w:val="-6"/>
        </w:rPr>
        <w:t> </w:t>
      </w:r>
      <w:r>
        <w:rPr/>
        <w:t>the</w:t>
      </w:r>
      <w:r>
        <w:rPr>
          <w:spacing w:val="-5"/>
        </w:rPr>
        <w:t> </w:t>
      </w:r>
      <w:r>
        <w:rPr/>
        <w:t>instructor, the chair, or the college dean. Otherwise, the grade shall remain as recorded. The decision of the Committee</w:t>
      </w:r>
      <w:r>
        <w:rPr>
          <w:spacing w:val="-10"/>
        </w:rPr>
        <w:t> </w:t>
      </w:r>
      <w:r>
        <w:rPr/>
        <w:t>shall</w:t>
      </w:r>
      <w:r>
        <w:rPr>
          <w:spacing w:val="-10"/>
        </w:rPr>
        <w:t> </w:t>
      </w:r>
      <w:r>
        <w:rPr/>
        <w:t>be</w:t>
      </w:r>
      <w:r>
        <w:rPr>
          <w:spacing w:val="-9"/>
        </w:rPr>
        <w:t> </w:t>
      </w:r>
      <w:r>
        <w:rPr/>
        <w:t>communicated</w:t>
      </w:r>
      <w:r>
        <w:rPr>
          <w:spacing w:val="-10"/>
        </w:rPr>
        <w:t> </w:t>
      </w:r>
      <w:r>
        <w:rPr/>
        <w:t>to</w:t>
      </w:r>
      <w:r>
        <w:rPr>
          <w:spacing w:val="-9"/>
        </w:rPr>
        <w:t> </w:t>
      </w:r>
      <w:r>
        <w:rPr/>
        <w:t>all</w:t>
      </w:r>
      <w:r>
        <w:rPr>
          <w:spacing w:val="-10"/>
        </w:rPr>
        <w:t> </w:t>
      </w:r>
      <w:r>
        <w:rPr/>
        <w:t>parties</w:t>
      </w:r>
      <w:r>
        <w:rPr>
          <w:spacing w:val="-9"/>
        </w:rPr>
        <w:t> </w:t>
      </w:r>
      <w:r>
        <w:rPr/>
        <w:t>in</w:t>
      </w:r>
      <w:r>
        <w:rPr>
          <w:spacing w:val="-10"/>
        </w:rPr>
        <w:t> </w:t>
      </w:r>
      <w:r>
        <w:rPr/>
        <w:t>writing.</w:t>
      </w:r>
      <w:r>
        <w:rPr>
          <w:spacing w:val="-9"/>
        </w:rPr>
        <w:t> </w:t>
      </w:r>
      <w:r>
        <w:rPr/>
        <w:t>The</w:t>
      </w:r>
      <w:r>
        <w:rPr>
          <w:spacing w:val="-10"/>
        </w:rPr>
        <w:t> </w:t>
      </w:r>
      <w:r>
        <w:rPr/>
        <w:t>decision</w:t>
      </w:r>
      <w:r>
        <w:rPr>
          <w:spacing w:val="-9"/>
        </w:rPr>
        <w:t> </w:t>
      </w:r>
      <w:r>
        <w:rPr/>
        <w:t>of</w:t>
      </w:r>
      <w:r>
        <w:rPr>
          <w:spacing w:val="-10"/>
        </w:rPr>
        <w:t> </w:t>
      </w:r>
      <w:r>
        <w:rPr/>
        <w:t>the</w:t>
      </w:r>
      <w:r>
        <w:rPr>
          <w:spacing w:val="-9"/>
        </w:rPr>
        <w:t> </w:t>
      </w:r>
      <w:r>
        <w:rPr/>
        <w:t>Graduate</w:t>
      </w:r>
      <w:r>
        <w:rPr>
          <w:spacing w:val="-10"/>
        </w:rPr>
        <w:t> </w:t>
      </w:r>
      <w:r>
        <w:rPr/>
        <w:t>Grade</w:t>
      </w:r>
      <w:r>
        <w:rPr>
          <w:spacing w:val="-9"/>
        </w:rPr>
        <w:t> </w:t>
      </w:r>
      <w:r>
        <w:rPr/>
        <w:t>Appeals Committee shall be</w:t>
      </w:r>
      <w:r>
        <w:rPr>
          <w:spacing w:val="-1"/>
        </w:rPr>
        <w:t> </w:t>
      </w:r>
      <w:r>
        <w:rPr/>
        <w:t>final.</w:t>
      </w:r>
    </w:p>
    <w:p>
      <w:pPr>
        <w:pStyle w:val="BodyText"/>
        <w:spacing w:before="1"/>
        <w:rPr>
          <w:sz w:val="23"/>
        </w:rPr>
      </w:pPr>
    </w:p>
    <w:p>
      <w:pPr>
        <w:pStyle w:val="BodyText"/>
        <w:ind w:left="865" w:right="215"/>
        <w:jc w:val="both"/>
      </w:pPr>
      <w:r>
        <w:rPr/>
        <w:t>The Graduate Grade Appeals Committee shall be composed of a chair, six members, and</w:t>
      </w:r>
      <w:r>
        <w:rPr>
          <w:spacing w:val="-35"/>
        </w:rPr>
        <w:t> </w:t>
      </w:r>
      <w:r>
        <w:rPr/>
        <w:t>six alternates constituted as</w:t>
      </w:r>
      <w:r>
        <w:rPr>
          <w:spacing w:val="-25"/>
        </w:rPr>
        <w:t> </w:t>
      </w:r>
      <w:r>
        <w:rPr/>
        <w:t>follows:</w:t>
      </w:r>
    </w:p>
    <w:p>
      <w:pPr>
        <w:pStyle w:val="BodyText"/>
        <w:spacing w:before="9"/>
        <w:rPr>
          <w:sz w:val="22"/>
        </w:rPr>
      </w:pPr>
    </w:p>
    <w:p>
      <w:pPr>
        <w:pStyle w:val="BodyText"/>
        <w:ind w:left="865" w:right="213"/>
        <w:jc w:val="both"/>
      </w:pPr>
      <w:r>
        <w:rPr/>
        <w:t>A chair designated by the Vice Provost for Graduate Studies and selected from the graduate faculty; a graduate faculty member and alternate designated by the Vice Provost for Graduate Studies; two graduate faculty members and two alternates elected by the University Council for Graduate Studies;</w:t>
      </w:r>
    </w:p>
    <w:p>
      <w:pPr>
        <w:spacing w:after="0"/>
        <w:jc w:val="both"/>
        <w:sectPr>
          <w:pgSz w:w="12240" w:h="15840"/>
          <w:pgMar w:header="0" w:footer="992" w:top="1380" w:bottom="1180" w:left="300" w:right="920"/>
        </w:sectPr>
      </w:pPr>
    </w:p>
    <w:p>
      <w:pPr>
        <w:pStyle w:val="BodyText"/>
        <w:spacing w:before="73"/>
        <w:ind w:left="865"/>
        <w:jc w:val="both"/>
      </w:pPr>
      <w:r>
        <w:rPr/>
        <w:t>three students and three alternates selected by the Vice Provost for Graduate Studies.</w:t>
      </w:r>
    </w:p>
    <w:p>
      <w:pPr>
        <w:pStyle w:val="BodyText"/>
        <w:spacing w:before="9"/>
        <w:rPr>
          <w:sz w:val="22"/>
        </w:rPr>
      </w:pPr>
    </w:p>
    <w:p>
      <w:pPr>
        <w:pStyle w:val="BodyText"/>
        <w:spacing w:before="1"/>
        <w:ind w:left="863" w:right="214"/>
        <w:jc w:val="both"/>
      </w:pPr>
      <w:r>
        <w:rPr/>
        <w:t>The appeals procedure is not complete until all appropriate records are forwarded to the Graduate School</w:t>
      </w:r>
      <w:r>
        <w:rPr>
          <w:spacing w:val="-5"/>
        </w:rPr>
        <w:t> </w:t>
      </w:r>
      <w:r>
        <w:rPr/>
        <w:t>Office.</w:t>
      </w:r>
      <w:r>
        <w:rPr>
          <w:spacing w:val="-6"/>
        </w:rPr>
        <w:t> </w:t>
      </w:r>
      <w:r>
        <w:rPr/>
        <w:t>At</w:t>
      </w:r>
      <w:r>
        <w:rPr>
          <w:spacing w:val="-4"/>
        </w:rPr>
        <w:t> </w:t>
      </w:r>
      <w:r>
        <w:rPr/>
        <w:t>this</w:t>
      </w:r>
      <w:r>
        <w:rPr>
          <w:spacing w:val="-5"/>
        </w:rPr>
        <w:t> </w:t>
      </w:r>
      <w:r>
        <w:rPr/>
        <w:t>time,</w:t>
      </w:r>
      <w:r>
        <w:rPr>
          <w:spacing w:val="-5"/>
        </w:rPr>
        <w:t> </w:t>
      </w:r>
      <w:r>
        <w:rPr/>
        <w:t>the</w:t>
      </w:r>
      <w:r>
        <w:rPr>
          <w:spacing w:val="-5"/>
        </w:rPr>
        <w:t> </w:t>
      </w:r>
      <w:r>
        <w:rPr/>
        <w:t>Vice</w:t>
      </w:r>
      <w:r>
        <w:rPr>
          <w:spacing w:val="-4"/>
        </w:rPr>
        <w:t> </w:t>
      </w:r>
      <w:r>
        <w:rPr/>
        <w:t>Provost</w:t>
      </w:r>
      <w:r>
        <w:rPr>
          <w:spacing w:val="-5"/>
        </w:rPr>
        <w:t> </w:t>
      </w:r>
      <w:r>
        <w:rPr/>
        <w:t>for</w:t>
      </w:r>
      <w:r>
        <w:rPr>
          <w:spacing w:val="-4"/>
        </w:rPr>
        <w:t> </w:t>
      </w:r>
      <w:r>
        <w:rPr/>
        <w:t>Graduate</w:t>
      </w:r>
      <w:r>
        <w:rPr>
          <w:spacing w:val="-6"/>
        </w:rPr>
        <w:t> </w:t>
      </w:r>
      <w:r>
        <w:rPr/>
        <w:t>Studies</w:t>
      </w:r>
      <w:r>
        <w:rPr>
          <w:spacing w:val="-4"/>
        </w:rPr>
        <w:t> </w:t>
      </w:r>
      <w:r>
        <w:rPr/>
        <w:t>shall</w:t>
      </w:r>
      <w:r>
        <w:rPr>
          <w:spacing w:val="-5"/>
        </w:rPr>
        <w:t> </w:t>
      </w:r>
      <w:r>
        <w:rPr/>
        <w:t>notify</w:t>
      </w:r>
      <w:r>
        <w:rPr>
          <w:spacing w:val="-5"/>
        </w:rPr>
        <w:t> </w:t>
      </w:r>
      <w:r>
        <w:rPr/>
        <w:t>the</w:t>
      </w:r>
      <w:r>
        <w:rPr>
          <w:spacing w:val="-5"/>
        </w:rPr>
        <w:t> </w:t>
      </w:r>
      <w:r>
        <w:rPr/>
        <w:t>Office</w:t>
      </w:r>
      <w:r>
        <w:rPr>
          <w:spacing w:val="-4"/>
        </w:rPr>
        <w:t> </w:t>
      </w:r>
      <w:r>
        <w:rPr/>
        <w:t>of</w:t>
      </w:r>
      <w:r>
        <w:rPr>
          <w:spacing w:val="-5"/>
        </w:rPr>
        <w:t> </w:t>
      </w:r>
      <w:r>
        <w:rPr/>
        <w:t>the</w:t>
      </w:r>
      <w:r>
        <w:rPr>
          <w:spacing w:val="-4"/>
        </w:rPr>
        <w:t> </w:t>
      </w:r>
      <w:r>
        <w:rPr/>
        <w:t>Registrar of any grade change. A copy of the Graduate Grade Appeals Form shall become a part of the</w:t>
      </w:r>
      <w:r>
        <w:rPr>
          <w:spacing w:val="-26"/>
        </w:rPr>
        <w:t> </w:t>
      </w:r>
      <w:r>
        <w:rPr/>
        <w:t>student's file. A permanent record of all grade appeals reviewed by the Grade Appeals Committee shall be maintained in the Graduate</w:t>
      </w:r>
      <w:r>
        <w:rPr>
          <w:spacing w:val="-2"/>
        </w:rPr>
        <w:t> </w:t>
      </w:r>
      <w:r>
        <w:rPr/>
        <w:t>School.</w:t>
      </w:r>
    </w:p>
    <w:p>
      <w:pPr>
        <w:pStyle w:val="BodyText"/>
        <w:spacing w:before="8"/>
        <w:rPr>
          <w:sz w:val="22"/>
        </w:rPr>
      </w:pPr>
    </w:p>
    <w:p>
      <w:pPr>
        <w:pStyle w:val="BodyText"/>
        <w:spacing w:before="1"/>
        <w:ind w:left="863" w:right="211"/>
        <w:jc w:val="both"/>
      </w:pPr>
      <w:r>
        <w:rPr/>
        <w:t>Although the primary responsibility of the committee is to review appeals, the committee shall report any obvious discriminatory or capricious conduct on the part of either the student or the instructor to the Vice Provost for Graduate Studies for consideration and action.</w:t>
      </w:r>
    </w:p>
    <w:p>
      <w:pPr>
        <w:pStyle w:val="BodyText"/>
        <w:rPr>
          <w:sz w:val="28"/>
        </w:rPr>
      </w:pPr>
    </w:p>
    <w:p>
      <w:pPr>
        <w:pStyle w:val="BodyText"/>
        <w:spacing w:before="7"/>
        <w:rPr>
          <w:sz w:val="28"/>
        </w:rPr>
      </w:pPr>
    </w:p>
    <w:p>
      <w:pPr>
        <w:pStyle w:val="Heading2"/>
        <w:jc w:val="both"/>
      </w:pPr>
      <w:r>
        <w:rPr>
          <w:color w:val="1F497C"/>
        </w:rPr>
        <w:t>PRIVACY RIGHTS OF STUDENTS</w:t>
      </w:r>
    </w:p>
    <w:p>
      <w:pPr>
        <w:pStyle w:val="BodyText"/>
        <w:spacing w:before="240"/>
        <w:ind w:left="863" w:right="213"/>
        <w:jc w:val="both"/>
      </w:pPr>
      <w:r>
        <w:rPr/>
        <w:t>The University complies fully with the Family Educational Rights and Privacy Act of 1974 (FERPA). This act</w:t>
      </w:r>
      <w:r>
        <w:rPr>
          <w:spacing w:val="-14"/>
        </w:rPr>
        <w:t> </w:t>
      </w:r>
      <w:r>
        <w:rPr/>
        <w:t>is</w:t>
      </w:r>
      <w:r>
        <w:rPr>
          <w:spacing w:val="-14"/>
        </w:rPr>
        <w:t> </w:t>
      </w:r>
      <w:r>
        <w:rPr/>
        <w:t>designed</w:t>
      </w:r>
      <w:r>
        <w:rPr>
          <w:spacing w:val="-13"/>
        </w:rPr>
        <w:t> </w:t>
      </w:r>
      <w:r>
        <w:rPr/>
        <w:t>to</w:t>
      </w:r>
      <w:r>
        <w:rPr>
          <w:spacing w:val="-14"/>
        </w:rPr>
        <w:t> </w:t>
      </w:r>
      <w:r>
        <w:rPr/>
        <w:t>protect</w:t>
      </w:r>
      <w:r>
        <w:rPr>
          <w:spacing w:val="-13"/>
        </w:rPr>
        <w:t> </w:t>
      </w:r>
      <w:r>
        <w:rPr/>
        <w:t>the</w:t>
      </w:r>
      <w:r>
        <w:rPr>
          <w:spacing w:val="-14"/>
        </w:rPr>
        <w:t> </w:t>
      </w:r>
      <w:r>
        <w:rPr/>
        <w:t>privacy</w:t>
      </w:r>
      <w:r>
        <w:rPr>
          <w:spacing w:val="-13"/>
        </w:rPr>
        <w:t> </w:t>
      </w:r>
      <w:r>
        <w:rPr/>
        <w:t>of</w:t>
      </w:r>
      <w:r>
        <w:rPr>
          <w:spacing w:val="-14"/>
        </w:rPr>
        <w:t> </w:t>
      </w:r>
      <w:r>
        <w:rPr/>
        <w:t>educational</w:t>
      </w:r>
      <w:r>
        <w:rPr>
          <w:spacing w:val="-13"/>
        </w:rPr>
        <w:t> </w:t>
      </w:r>
      <w:r>
        <w:rPr/>
        <w:t>records,</w:t>
      </w:r>
      <w:r>
        <w:rPr>
          <w:spacing w:val="-14"/>
        </w:rPr>
        <w:t> </w:t>
      </w:r>
      <w:r>
        <w:rPr/>
        <w:t>to</w:t>
      </w:r>
      <w:r>
        <w:rPr>
          <w:spacing w:val="-13"/>
        </w:rPr>
        <w:t> </w:t>
      </w:r>
      <w:r>
        <w:rPr/>
        <w:t>establish</w:t>
      </w:r>
      <w:r>
        <w:rPr>
          <w:spacing w:val="-14"/>
        </w:rPr>
        <w:t> </w:t>
      </w:r>
      <w:r>
        <w:rPr/>
        <w:t>the</w:t>
      </w:r>
      <w:r>
        <w:rPr>
          <w:spacing w:val="-13"/>
        </w:rPr>
        <w:t> </w:t>
      </w:r>
      <w:r>
        <w:rPr/>
        <w:t>right</w:t>
      </w:r>
      <w:r>
        <w:rPr>
          <w:spacing w:val="-14"/>
        </w:rPr>
        <w:t> </w:t>
      </w:r>
      <w:r>
        <w:rPr/>
        <w:t>of</w:t>
      </w:r>
      <w:r>
        <w:rPr>
          <w:spacing w:val="-13"/>
        </w:rPr>
        <w:t> </w:t>
      </w:r>
      <w:r>
        <w:rPr/>
        <w:t>students</w:t>
      </w:r>
      <w:r>
        <w:rPr>
          <w:spacing w:val="-14"/>
        </w:rPr>
        <w:t> </w:t>
      </w:r>
      <w:r>
        <w:rPr/>
        <w:t>to</w:t>
      </w:r>
      <w:r>
        <w:rPr>
          <w:spacing w:val="-13"/>
        </w:rPr>
        <w:t> </w:t>
      </w:r>
      <w:r>
        <w:rPr/>
        <w:t>inspect and review their educational records, and to provide guidelines for the correction of inaccurate or misleading data through informal and formal hearings. Students also have the right to file complaints with the FERPA office concerning alleged failures by the institution to comply with the</w:t>
      </w:r>
      <w:r>
        <w:rPr>
          <w:spacing w:val="-3"/>
        </w:rPr>
        <w:t> </w:t>
      </w:r>
      <w:r>
        <w:rPr/>
        <w:t>Act.</w:t>
      </w:r>
    </w:p>
    <w:p>
      <w:pPr>
        <w:pStyle w:val="BodyText"/>
        <w:spacing w:before="239"/>
        <w:ind w:left="865" w:right="212"/>
        <w:jc w:val="both"/>
      </w:pPr>
      <w:r>
        <w:rPr/>
        <w:t>The provisions for the release of information about students and the rights of students and others to have access to The University of Memphis education records are published each semester in the Schedule of Classes. A copy of the Act and The University of Memphis Procedures pertaining to FERPA may be reviewed in the offices of the Registrar or University Counsel.</w:t>
      </w:r>
    </w:p>
    <w:p>
      <w:pPr>
        <w:pStyle w:val="BodyText"/>
        <w:rPr>
          <w:sz w:val="28"/>
        </w:rPr>
      </w:pPr>
    </w:p>
    <w:p>
      <w:pPr>
        <w:pStyle w:val="Heading2"/>
        <w:spacing w:before="243"/>
        <w:ind w:left="867"/>
        <w:jc w:val="both"/>
      </w:pPr>
      <w:r>
        <w:rPr>
          <w:color w:val="1F497C"/>
        </w:rPr>
        <w:t>RETENTION</w:t>
      </w:r>
    </w:p>
    <w:p>
      <w:pPr>
        <w:pStyle w:val="BodyText"/>
        <w:spacing w:before="240"/>
        <w:ind w:left="863" w:right="212"/>
        <w:jc w:val="both"/>
      </w:pPr>
      <w:r>
        <w:rPr/>
        <w:t>All</w:t>
      </w:r>
      <w:r>
        <w:rPr>
          <w:spacing w:val="-13"/>
        </w:rPr>
        <w:t> </w:t>
      </w:r>
      <w:r>
        <w:rPr/>
        <w:t>students</w:t>
      </w:r>
      <w:r>
        <w:rPr>
          <w:spacing w:val="-12"/>
        </w:rPr>
        <w:t> </w:t>
      </w:r>
      <w:r>
        <w:rPr/>
        <w:t>are</w:t>
      </w:r>
      <w:r>
        <w:rPr>
          <w:spacing w:val="-12"/>
        </w:rPr>
        <w:t> </w:t>
      </w:r>
      <w:r>
        <w:rPr/>
        <w:t>required</w:t>
      </w:r>
      <w:r>
        <w:rPr>
          <w:spacing w:val="-13"/>
        </w:rPr>
        <w:t> </w:t>
      </w:r>
      <w:r>
        <w:rPr/>
        <w:t>to</w:t>
      </w:r>
      <w:r>
        <w:rPr>
          <w:spacing w:val="-12"/>
        </w:rPr>
        <w:t> </w:t>
      </w:r>
      <w:r>
        <w:rPr/>
        <w:t>maintain</w:t>
      </w:r>
      <w:r>
        <w:rPr>
          <w:spacing w:val="-12"/>
        </w:rPr>
        <w:t> </w:t>
      </w:r>
      <w:r>
        <w:rPr/>
        <w:t>a</w:t>
      </w:r>
      <w:r>
        <w:rPr>
          <w:spacing w:val="-13"/>
        </w:rPr>
        <w:t> </w:t>
      </w:r>
      <w:r>
        <w:rPr/>
        <w:t>cumulative</w:t>
      </w:r>
      <w:r>
        <w:rPr>
          <w:spacing w:val="-12"/>
        </w:rPr>
        <w:t> </w:t>
      </w:r>
      <w:r>
        <w:rPr/>
        <w:t>GPA</w:t>
      </w:r>
      <w:r>
        <w:rPr>
          <w:spacing w:val="-12"/>
        </w:rPr>
        <w:t> </w:t>
      </w:r>
      <w:r>
        <w:rPr/>
        <w:t>of</w:t>
      </w:r>
      <w:r>
        <w:rPr>
          <w:spacing w:val="-13"/>
        </w:rPr>
        <w:t> </w:t>
      </w:r>
      <w:r>
        <w:rPr/>
        <w:t>at</w:t>
      </w:r>
      <w:r>
        <w:rPr>
          <w:spacing w:val="-12"/>
        </w:rPr>
        <w:t> </w:t>
      </w:r>
      <w:r>
        <w:rPr/>
        <w:t>least</w:t>
      </w:r>
      <w:r>
        <w:rPr>
          <w:spacing w:val="-12"/>
        </w:rPr>
        <w:t> </w:t>
      </w:r>
      <w:r>
        <w:rPr/>
        <w:t>3.00.</w:t>
      </w:r>
      <w:r>
        <w:rPr>
          <w:spacing w:val="-12"/>
        </w:rPr>
        <w:t> </w:t>
      </w:r>
      <w:r>
        <w:rPr/>
        <w:t>Should</w:t>
      </w:r>
      <w:r>
        <w:rPr>
          <w:spacing w:val="-13"/>
        </w:rPr>
        <w:t> </w:t>
      </w:r>
      <w:r>
        <w:rPr/>
        <w:t>the</w:t>
      </w:r>
      <w:r>
        <w:rPr>
          <w:spacing w:val="-12"/>
        </w:rPr>
        <w:t> </w:t>
      </w:r>
      <w:r>
        <w:rPr/>
        <w:t>student’s</w:t>
      </w:r>
      <w:r>
        <w:rPr>
          <w:spacing w:val="-12"/>
        </w:rPr>
        <w:t> </w:t>
      </w:r>
      <w:r>
        <w:rPr/>
        <w:t>cumulative GPA fall below that mark, a period of one semester will be allowed to correct the deficiency. At the discretion of the chair, the director of graduate studies in the student’s college, and the Assistant Vice Provost for Graduate Studies, this period may be extended one additional semester. No more than 6 hours of "C-," "C" or "C+" will be applied toward meeting Master of Social Work degree requirements. “D+,” “D,” and “F” will not be applied towards the Master of Social Work degree requirements. All students</w:t>
      </w:r>
      <w:r>
        <w:rPr>
          <w:spacing w:val="-5"/>
        </w:rPr>
        <w:t> </w:t>
      </w:r>
      <w:r>
        <w:rPr/>
        <w:t>who</w:t>
      </w:r>
      <w:r>
        <w:rPr>
          <w:spacing w:val="-5"/>
        </w:rPr>
        <w:t> </w:t>
      </w:r>
      <w:r>
        <w:rPr/>
        <w:t>fall</w:t>
      </w:r>
      <w:r>
        <w:rPr>
          <w:spacing w:val="-4"/>
        </w:rPr>
        <w:t> </w:t>
      </w:r>
      <w:r>
        <w:rPr/>
        <w:t>below</w:t>
      </w:r>
      <w:r>
        <w:rPr>
          <w:spacing w:val="-5"/>
        </w:rPr>
        <w:t> </w:t>
      </w:r>
      <w:r>
        <w:rPr/>
        <w:t>a</w:t>
      </w:r>
      <w:r>
        <w:rPr>
          <w:spacing w:val="-4"/>
        </w:rPr>
        <w:t> </w:t>
      </w:r>
      <w:r>
        <w:rPr/>
        <w:t>GPA</w:t>
      </w:r>
      <w:r>
        <w:rPr>
          <w:spacing w:val="-5"/>
        </w:rPr>
        <w:t> </w:t>
      </w:r>
      <w:r>
        <w:rPr/>
        <w:t>of</w:t>
      </w:r>
      <w:r>
        <w:rPr>
          <w:spacing w:val="-4"/>
        </w:rPr>
        <w:t> </w:t>
      </w:r>
      <w:r>
        <w:rPr/>
        <w:t>3.0</w:t>
      </w:r>
      <w:r>
        <w:rPr>
          <w:spacing w:val="-5"/>
        </w:rPr>
        <w:t> </w:t>
      </w:r>
      <w:r>
        <w:rPr/>
        <w:t>for</w:t>
      </w:r>
      <w:r>
        <w:rPr>
          <w:spacing w:val="-4"/>
        </w:rPr>
        <w:t> </w:t>
      </w:r>
      <w:r>
        <w:rPr/>
        <w:t>one</w:t>
      </w:r>
      <w:r>
        <w:rPr>
          <w:spacing w:val="-5"/>
        </w:rPr>
        <w:t> </w:t>
      </w:r>
      <w:r>
        <w:rPr/>
        <w:t>semester,</w:t>
      </w:r>
      <w:r>
        <w:rPr>
          <w:spacing w:val="-4"/>
        </w:rPr>
        <w:t> </w:t>
      </w:r>
      <w:r>
        <w:rPr/>
        <w:t>and</w:t>
      </w:r>
      <w:r>
        <w:rPr>
          <w:spacing w:val="-5"/>
        </w:rPr>
        <w:t> </w:t>
      </w:r>
      <w:r>
        <w:rPr/>
        <w:t>all</w:t>
      </w:r>
      <w:r>
        <w:rPr>
          <w:spacing w:val="-5"/>
        </w:rPr>
        <w:t> </w:t>
      </w:r>
      <w:r>
        <w:rPr/>
        <w:t>students</w:t>
      </w:r>
      <w:r>
        <w:rPr>
          <w:spacing w:val="-4"/>
        </w:rPr>
        <w:t> </w:t>
      </w:r>
      <w:r>
        <w:rPr/>
        <w:t>who</w:t>
      </w:r>
      <w:r>
        <w:rPr>
          <w:spacing w:val="-5"/>
        </w:rPr>
        <w:t> </w:t>
      </w:r>
      <w:r>
        <w:rPr/>
        <w:t>earn</w:t>
      </w:r>
      <w:r>
        <w:rPr>
          <w:spacing w:val="-4"/>
        </w:rPr>
        <w:t> </w:t>
      </w:r>
      <w:r>
        <w:rPr/>
        <w:t>a</w:t>
      </w:r>
      <w:r>
        <w:rPr>
          <w:spacing w:val="-5"/>
        </w:rPr>
        <w:t> </w:t>
      </w:r>
      <w:r>
        <w:rPr/>
        <w:t>grade</w:t>
      </w:r>
      <w:r>
        <w:rPr>
          <w:spacing w:val="-4"/>
        </w:rPr>
        <w:t> </w:t>
      </w:r>
      <w:r>
        <w:rPr/>
        <w:t>of</w:t>
      </w:r>
      <w:r>
        <w:rPr>
          <w:spacing w:val="-5"/>
        </w:rPr>
        <w:t> </w:t>
      </w:r>
      <w:r>
        <w:rPr/>
        <w:t>“D+,”</w:t>
      </w:r>
      <w:r>
        <w:rPr>
          <w:spacing w:val="-4"/>
        </w:rPr>
        <w:t> </w:t>
      </w:r>
      <w:r>
        <w:rPr/>
        <w:t>“D,” or “F” will be automatically referred to meet with the program retention committee the following semester</w:t>
      </w:r>
    </w:p>
    <w:p>
      <w:pPr>
        <w:pStyle w:val="BodyText"/>
        <w:spacing w:before="2"/>
        <w:rPr>
          <w:sz w:val="39"/>
        </w:rPr>
      </w:pPr>
    </w:p>
    <w:p>
      <w:pPr>
        <w:pStyle w:val="Heading2"/>
        <w:jc w:val="both"/>
      </w:pPr>
      <w:r>
        <w:rPr>
          <w:color w:val="1F497C"/>
        </w:rPr>
        <w:t>REPETITION OF COURSES</w:t>
      </w:r>
    </w:p>
    <w:p>
      <w:pPr>
        <w:pStyle w:val="BodyText"/>
        <w:spacing w:before="240"/>
        <w:ind w:left="863" w:right="212"/>
        <w:jc w:val="both"/>
      </w:pPr>
      <w:r>
        <w:rPr/>
        <w:t>A graduate student may repeat a course to earn a higher grade only if the earned grade was a "U" or lower than a "B" (3.0). No course may be repeated more than once to improve the grade. Only the grade</w:t>
      </w:r>
      <w:r>
        <w:rPr>
          <w:spacing w:val="-4"/>
        </w:rPr>
        <w:t> </w:t>
      </w:r>
      <w:r>
        <w:rPr/>
        <w:t>earned</w:t>
      </w:r>
      <w:r>
        <w:rPr>
          <w:spacing w:val="-4"/>
        </w:rPr>
        <w:t> </w:t>
      </w:r>
      <w:r>
        <w:rPr/>
        <w:t>in</w:t>
      </w:r>
      <w:r>
        <w:rPr>
          <w:spacing w:val="-3"/>
        </w:rPr>
        <w:t> </w:t>
      </w:r>
      <w:r>
        <w:rPr/>
        <w:t>the</w:t>
      </w:r>
      <w:r>
        <w:rPr>
          <w:spacing w:val="-4"/>
        </w:rPr>
        <w:t> </w:t>
      </w:r>
      <w:r>
        <w:rPr/>
        <w:t>second</w:t>
      </w:r>
      <w:r>
        <w:rPr>
          <w:spacing w:val="-4"/>
        </w:rPr>
        <w:t> </w:t>
      </w:r>
      <w:r>
        <w:rPr/>
        <w:t>attempt</w:t>
      </w:r>
      <w:r>
        <w:rPr>
          <w:spacing w:val="-3"/>
        </w:rPr>
        <w:t> </w:t>
      </w:r>
      <w:r>
        <w:rPr/>
        <w:t>will</w:t>
      </w:r>
      <w:r>
        <w:rPr>
          <w:spacing w:val="-4"/>
        </w:rPr>
        <w:t> </w:t>
      </w:r>
      <w:r>
        <w:rPr/>
        <w:t>be</w:t>
      </w:r>
      <w:r>
        <w:rPr>
          <w:spacing w:val="-4"/>
        </w:rPr>
        <w:t> </w:t>
      </w:r>
      <w:r>
        <w:rPr/>
        <w:t>included</w:t>
      </w:r>
      <w:r>
        <w:rPr>
          <w:spacing w:val="-3"/>
        </w:rPr>
        <w:t> </w:t>
      </w:r>
      <w:r>
        <w:rPr/>
        <w:t>in</w:t>
      </w:r>
      <w:r>
        <w:rPr>
          <w:spacing w:val="-4"/>
        </w:rPr>
        <w:t> </w:t>
      </w:r>
      <w:r>
        <w:rPr/>
        <w:t>the</w:t>
      </w:r>
      <w:r>
        <w:rPr>
          <w:spacing w:val="-4"/>
        </w:rPr>
        <w:t> </w:t>
      </w:r>
      <w:r>
        <w:rPr/>
        <w:t>computation</w:t>
      </w:r>
      <w:r>
        <w:rPr>
          <w:spacing w:val="-3"/>
        </w:rPr>
        <w:t> </w:t>
      </w:r>
      <w:r>
        <w:rPr/>
        <w:t>of</w:t>
      </w:r>
      <w:r>
        <w:rPr>
          <w:spacing w:val="-4"/>
        </w:rPr>
        <w:t> </w:t>
      </w:r>
      <w:r>
        <w:rPr/>
        <w:t>the</w:t>
      </w:r>
      <w:r>
        <w:rPr>
          <w:spacing w:val="-4"/>
        </w:rPr>
        <w:t> </w:t>
      </w:r>
      <w:r>
        <w:rPr/>
        <w:t>cumulative</w:t>
      </w:r>
      <w:r>
        <w:rPr>
          <w:spacing w:val="-3"/>
        </w:rPr>
        <w:t> </w:t>
      </w:r>
      <w:r>
        <w:rPr/>
        <w:t>grade-point</w:t>
      </w:r>
    </w:p>
    <w:p>
      <w:pPr>
        <w:spacing w:after="0"/>
        <w:jc w:val="both"/>
        <w:sectPr>
          <w:pgSz w:w="12240" w:h="15840"/>
          <w:pgMar w:header="0" w:footer="992" w:top="1380" w:bottom="1180" w:left="300" w:right="920"/>
        </w:sectPr>
      </w:pPr>
    </w:p>
    <w:p>
      <w:pPr>
        <w:pStyle w:val="BodyText"/>
        <w:spacing w:before="73"/>
        <w:ind w:left="863" w:right="212"/>
        <w:jc w:val="both"/>
      </w:pPr>
      <w:r>
        <w:rPr/>
        <w:t>average. A maximum of two courses may be repeated during the student's total MSW program to improve</w:t>
      </w:r>
      <w:r>
        <w:rPr>
          <w:spacing w:val="-12"/>
        </w:rPr>
        <w:t> </w:t>
      </w:r>
      <w:r>
        <w:rPr/>
        <w:t>a</w:t>
      </w:r>
      <w:r>
        <w:rPr>
          <w:spacing w:val="-12"/>
        </w:rPr>
        <w:t> </w:t>
      </w:r>
      <w:r>
        <w:rPr/>
        <w:t>grade.</w:t>
      </w:r>
      <w:r>
        <w:rPr>
          <w:spacing w:val="-11"/>
        </w:rPr>
        <w:t> </w:t>
      </w:r>
      <w:r>
        <w:rPr/>
        <w:t>Students</w:t>
      </w:r>
      <w:r>
        <w:rPr>
          <w:spacing w:val="-12"/>
        </w:rPr>
        <w:t> </w:t>
      </w:r>
      <w:r>
        <w:rPr/>
        <w:t>should</w:t>
      </w:r>
      <w:r>
        <w:rPr>
          <w:spacing w:val="-12"/>
        </w:rPr>
        <w:t> </w:t>
      </w:r>
      <w:r>
        <w:rPr/>
        <w:t>always</w:t>
      </w:r>
      <w:r>
        <w:rPr>
          <w:spacing w:val="-11"/>
        </w:rPr>
        <w:t> </w:t>
      </w:r>
      <w:r>
        <w:rPr/>
        <w:t>check</w:t>
      </w:r>
      <w:r>
        <w:rPr>
          <w:spacing w:val="-12"/>
        </w:rPr>
        <w:t> </w:t>
      </w:r>
      <w:r>
        <w:rPr/>
        <w:t>with</w:t>
      </w:r>
      <w:r>
        <w:rPr>
          <w:spacing w:val="-11"/>
        </w:rPr>
        <w:t> </w:t>
      </w:r>
      <w:r>
        <w:rPr/>
        <w:t>their</w:t>
      </w:r>
      <w:r>
        <w:rPr>
          <w:spacing w:val="-12"/>
        </w:rPr>
        <w:t> </w:t>
      </w:r>
      <w:r>
        <w:rPr/>
        <w:t>advisors</w:t>
      </w:r>
      <w:r>
        <w:rPr>
          <w:spacing w:val="-12"/>
        </w:rPr>
        <w:t> </w:t>
      </w:r>
      <w:r>
        <w:rPr/>
        <w:t>before</w:t>
      </w:r>
      <w:r>
        <w:rPr>
          <w:spacing w:val="-11"/>
        </w:rPr>
        <w:t> </w:t>
      </w:r>
      <w:r>
        <w:rPr/>
        <w:t>enrolling</w:t>
      </w:r>
      <w:r>
        <w:rPr>
          <w:spacing w:val="-12"/>
        </w:rPr>
        <w:t> </w:t>
      </w:r>
      <w:r>
        <w:rPr/>
        <w:t>in</w:t>
      </w:r>
      <w:r>
        <w:rPr>
          <w:spacing w:val="-11"/>
        </w:rPr>
        <w:t> </w:t>
      </w:r>
      <w:r>
        <w:rPr/>
        <w:t>a</w:t>
      </w:r>
      <w:r>
        <w:rPr>
          <w:spacing w:val="-12"/>
        </w:rPr>
        <w:t> </w:t>
      </w:r>
      <w:r>
        <w:rPr/>
        <w:t>course</w:t>
      </w:r>
      <w:r>
        <w:rPr>
          <w:spacing w:val="-12"/>
        </w:rPr>
        <w:t> </w:t>
      </w:r>
      <w:r>
        <w:rPr/>
        <w:t>a</w:t>
      </w:r>
      <w:r>
        <w:rPr>
          <w:spacing w:val="-11"/>
        </w:rPr>
        <w:t> </w:t>
      </w:r>
      <w:r>
        <w:rPr/>
        <w:t>second time.</w:t>
      </w:r>
      <w:r>
        <w:rPr>
          <w:spacing w:val="-4"/>
        </w:rPr>
        <w:t> </w:t>
      </w:r>
      <w:r>
        <w:rPr/>
        <w:t>Students</w:t>
      </w:r>
      <w:r>
        <w:rPr>
          <w:spacing w:val="-4"/>
        </w:rPr>
        <w:t> </w:t>
      </w:r>
      <w:r>
        <w:rPr/>
        <w:t>who</w:t>
      </w:r>
      <w:r>
        <w:rPr>
          <w:spacing w:val="-4"/>
        </w:rPr>
        <w:t> </w:t>
      </w:r>
      <w:r>
        <w:rPr/>
        <w:t>fail</w:t>
      </w:r>
      <w:r>
        <w:rPr>
          <w:spacing w:val="-4"/>
        </w:rPr>
        <w:t> </w:t>
      </w:r>
      <w:r>
        <w:rPr/>
        <w:t>more</w:t>
      </w:r>
      <w:r>
        <w:rPr>
          <w:spacing w:val="-3"/>
        </w:rPr>
        <w:t> </w:t>
      </w:r>
      <w:r>
        <w:rPr/>
        <w:t>than</w:t>
      </w:r>
      <w:r>
        <w:rPr>
          <w:spacing w:val="-4"/>
        </w:rPr>
        <w:t> </w:t>
      </w:r>
      <w:r>
        <w:rPr/>
        <w:t>two</w:t>
      </w:r>
      <w:r>
        <w:rPr>
          <w:spacing w:val="-3"/>
        </w:rPr>
        <w:t> </w:t>
      </w:r>
      <w:r>
        <w:rPr/>
        <w:t>courses</w:t>
      </w:r>
      <w:r>
        <w:rPr>
          <w:spacing w:val="-4"/>
        </w:rPr>
        <w:t> </w:t>
      </w:r>
      <w:r>
        <w:rPr/>
        <w:t>(grades</w:t>
      </w:r>
      <w:r>
        <w:rPr>
          <w:spacing w:val="-3"/>
        </w:rPr>
        <w:t> </w:t>
      </w:r>
      <w:r>
        <w:rPr/>
        <w:t>below</w:t>
      </w:r>
      <w:r>
        <w:rPr>
          <w:spacing w:val="-4"/>
        </w:rPr>
        <w:t> </w:t>
      </w:r>
      <w:r>
        <w:rPr/>
        <w:t>“C-“),</w:t>
      </w:r>
      <w:r>
        <w:rPr>
          <w:spacing w:val="-4"/>
        </w:rPr>
        <w:t> </w:t>
      </w:r>
      <w:r>
        <w:rPr/>
        <w:t>and</w:t>
      </w:r>
      <w:r>
        <w:rPr>
          <w:spacing w:val="-3"/>
        </w:rPr>
        <w:t> </w:t>
      </w:r>
      <w:r>
        <w:rPr/>
        <w:t>students</w:t>
      </w:r>
      <w:r>
        <w:rPr>
          <w:spacing w:val="-4"/>
        </w:rPr>
        <w:t> </w:t>
      </w:r>
      <w:r>
        <w:rPr/>
        <w:t>who</w:t>
      </w:r>
      <w:r>
        <w:rPr>
          <w:spacing w:val="-3"/>
        </w:rPr>
        <w:t> </w:t>
      </w:r>
      <w:r>
        <w:rPr/>
        <w:t>have</w:t>
      </w:r>
      <w:r>
        <w:rPr>
          <w:spacing w:val="-4"/>
        </w:rPr>
        <w:t> </w:t>
      </w:r>
      <w:r>
        <w:rPr/>
        <w:t>more</w:t>
      </w:r>
      <w:r>
        <w:rPr>
          <w:spacing w:val="-3"/>
        </w:rPr>
        <w:t> </w:t>
      </w:r>
      <w:r>
        <w:rPr/>
        <w:t>than four grades below “B-“ or more than two grades below “B-“ after having repeated two courses will be dismissed from the</w:t>
      </w:r>
      <w:r>
        <w:rPr>
          <w:spacing w:val="-1"/>
        </w:rPr>
        <w:t> </w:t>
      </w:r>
      <w:r>
        <w:rPr/>
        <w:t>program.</w:t>
      </w:r>
    </w:p>
    <w:p>
      <w:pPr>
        <w:pStyle w:val="BodyText"/>
        <w:rPr>
          <w:sz w:val="28"/>
        </w:rPr>
      </w:pPr>
    </w:p>
    <w:p>
      <w:pPr>
        <w:pStyle w:val="BodyText"/>
        <w:spacing w:before="10"/>
        <w:rPr>
          <w:sz w:val="25"/>
        </w:rPr>
      </w:pPr>
    </w:p>
    <w:p>
      <w:pPr>
        <w:pStyle w:val="Heading2"/>
        <w:ind w:left="867"/>
      </w:pPr>
      <w:r>
        <w:rPr>
          <w:color w:val="1F497C"/>
        </w:rPr>
        <w:t>TERMINATION OF ENROLLMENT</w:t>
      </w:r>
    </w:p>
    <w:p>
      <w:pPr>
        <w:pStyle w:val="BodyText"/>
        <w:spacing w:before="240"/>
        <w:ind w:left="867" w:right="219"/>
        <w:jc w:val="both"/>
      </w:pPr>
      <w:r>
        <w:rPr/>
        <w:t>Students can be dismissed from the MSW program for various infractions that constitute ethical breaches as well as for poor academic performance. These behaviors / choices can lead to disciplinary action, up to and including dismissal from the program. The following behaviors present some of the most important of these infractions but it is not, in itself, exhaustive:</w:t>
      </w:r>
    </w:p>
    <w:p>
      <w:pPr>
        <w:pStyle w:val="ListParagraph"/>
        <w:numPr>
          <w:ilvl w:val="1"/>
          <w:numId w:val="10"/>
        </w:numPr>
        <w:tabs>
          <w:tab w:pos="1585" w:val="left" w:leader="none"/>
        </w:tabs>
        <w:spacing w:line="240" w:lineRule="auto" w:before="0" w:after="0"/>
        <w:ind w:left="1585" w:right="212" w:hanging="360"/>
        <w:jc w:val="left"/>
        <w:rPr>
          <w:sz w:val="24"/>
        </w:rPr>
      </w:pPr>
      <w:r>
        <w:rPr>
          <w:sz w:val="24"/>
        </w:rPr>
        <w:t>Documented behavior that is inconsistent with the Code of Ethics of the National Association of Social</w:t>
      </w:r>
      <w:r>
        <w:rPr>
          <w:spacing w:val="-4"/>
          <w:sz w:val="24"/>
        </w:rPr>
        <w:t> </w:t>
      </w:r>
      <w:r>
        <w:rPr>
          <w:sz w:val="24"/>
        </w:rPr>
        <w:t>Workers.</w:t>
      </w:r>
    </w:p>
    <w:p>
      <w:pPr>
        <w:pStyle w:val="ListParagraph"/>
        <w:numPr>
          <w:ilvl w:val="1"/>
          <w:numId w:val="10"/>
        </w:numPr>
        <w:tabs>
          <w:tab w:pos="1585" w:val="left" w:leader="none"/>
        </w:tabs>
        <w:spacing w:line="240" w:lineRule="auto" w:before="0" w:after="0"/>
        <w:ind w:left="1585" w:right="213" w:hanging="360"/>
        <w:jc w:val="both"/>
        <w:rPr>
          <w:sz w:val="24"/>
        </w:rPr>
      </w:pPr>
      <w:r>
        <w:rPr>
          <w:sz w:val="24"/>
        </w:rPr>
        <w:t>Documented problems in behavior or performance, which raise questions from the faculty or field instructor about the student’s suitability for professional social work. The following list is not</w:t>
      </w:r>
      <w:r>
        <w:rPr>
          <w:spacing w:val="-3"/>
          <w:sz w:val="24"/>
        </w:rPr>
        <w:t> </w:t>
      </w:r>
      <w:r>
        <w:rPr>
          <w:sz w:val="24"/>
        </w:rPr>
        <w:t>exhaustive:</w:t>
      </w:r>
    </w:p>
    <w:p>
      <w:pPr>
        <w:pStyle w:val="ListParagraph"/>
        <w:numPr>
          <w:ilvl w:val="2"/>
          <w:numId w:val="10"/>
        </w:numPr>
        <w:tabs>
          <w:tab w:pos="2305" w:val="left" w:leader="none"/>
        </w:tabs>
        <w:spacing w:line="292" w:lineRule="exact" w:before="0" w:after="0"/>
        <w:ind w:left="2305" w:right="0" w:hanging="360"/>
        <w:jc w:val="left"/>
        <w:rPr>
          <w:sz w:val="24"/>
        </w:rPr>
      </w:pPr>
      <w:r>
        <w:rPr>
          <w:sz w:val="24"/>
        </w:rPr>
        <w:t>Forced or coerced sexual</w:t>
      </w:r>
      <w:r>
        <w:rPr>
          <w:spacing w:val="-16"/>
          <w:sz w:val="24"/>
        </w:rPr>
        <w:t> </w:t>
      </w:r>
      <w:r>
        <w:rPr>
          <w:sz w:val="24"/>
        </w:rPr>
        <w:t>behavior.</w:t>
      </w:r>
    </w:p>
    <w:p>
      <w:pPr>
        <w:pStyle w:val="ListParagraph"/>
        <w:numPr>
          <w:ilvl w:val="2"/>
          <w:numId w:val="10"/>
        </w:numPr>
        <w:tabs>
          <w:tab w:pos="2305" w:val="left" w:leader="none"/>
        </w:tabs>
        <w:spacing w:line="240" w:lineRule="auto" w:before="0" w:after="0"/>
        <w:ind w:left="2305" w:right="214" w:hanging="360"/>
        <w:jc w:val="left"/>
        <w:rPr>
          <w:sz w:val="24"/>
        </w:rPr>
      </w:pPr>
      <w:r>
        <w:rPr>
          <w:sz w:val="24"/>
        </w:rPr>
        <w:t>Sexual activity with clients including, but not limited to, kissing, fondling, or sexual intercourse.</w:t>
      </w:r>
    </w:p>
    <w:p>
      <w:pPr>
        <w:pStyle w:val="ListParagraph"/>
        <w:numPr>
          <w:ilvl w:val="2"/>
          <w:numId w:val="10"/>
        </w:numPr>
        <w:tabs>
          <w:tab w:pos="2305" w:val="left" w:leader="none"/>
        </w:tabs>
        <w:spacing w:line="240" w:lineRule="auto" w:before="0" w:after="0"/>
        <w:ind w:left="2305" w:right="214" w:hanging="360"/>
        <w:jc w:val="left"/>
        <w:rPr>
          <w:sz w:val="24"/>
        </w:rPr>
      </w:pPr>
      <w:r>
        <w:rPr>
          <w:sz w:val="24"/>
        </w:rPr>
        <w:t>Physical actions directed at clients, students, faculty, or staff, such as hitting, spanking, or</w:t>
      </w:r>
      <w:r>
        <w:rPr>
          <w:spacing w:val="-10"/>
          <w:sz w:val="24"/>
        </w:rPr>
        <w:t> </w:t>
      </w:r>
      <w:r>
        <w:rPr>
          <w:sz w:val="24"/>
        </w:rPr>
        <w:t>slapping.</w:t>
      </w:r>
    </w:p>
    <w:p>
      <w:pPr>
        <w:pStyle w:val="ListParagraph"/>
        <w:numPr>
          <w:ilvl w:val="2"/>
          <w:numId w:val="10"/>
        </w:numPr>
        <w:tabs>
          <w:tab w:pos="2305" w:val="left" w:leader="none"/>
        </w:tabs>
        <w:spacing w:line="293" w:lineRule="exact" w:before="0" w:after="0"/>
        <w:ind w:left="2305" w:right="0" w:hanging="360"/>
        <w:jc w:val="left"/>
        <w:rPr>
          <w:sz w:val="24"/>
        </w:rPr>
      </w:pPr>
      <w:r>
        <w:rPr>
          <w:sz w:val="24"/>
        </w:rPr>
        <w:t>Physical or emotional threats directed toward clients, students, faculty,</w:t>
      </w:r>
      <w:r>
        <w:rPr>
          <w:spacing w:val="2"/>
          <w:sz w:val="24"/>
        </w:rPr>
        <w:t> </w:t>
      </w:r>
      <w:r>
        <w:rPr>
          <w:sz w:val="24"/>
        </w:rPr>
        <w:t>orstaff.</w:t>
      </w:r>
    </w:p>
    <w:p>
      <w:pPr>
        <w:pStyle w:val="ListParagraph"/>
        <w:numPr>
          <w:ilvl w:val="2"/>
          <w:numId w:val="10"/>
        </w:numPr>
        <w:tabs>
          <w:tab w:pos="2305" w:val="left" w:leader="none"/>
        </w:tabs>
        <w:spacing w:line="240" w:lineRule="auto" w:before="0" w:after="0"/>
        <w:ind w:left="2305" w:right="211" w:hanging="360"/>
        <w:jc w:val="both"/>
        <w:rPr>
          <w:sz w:val="24"/>
        </w:rPr>
      </w:pPr>
      <w:r>
        <w:rPr>
          <w:sz w:val="24"/>
        </w:rPr>
        <w:t>Acceptance</w:t>
      </w:r>
      <w:r>
        <w:rPr>
          <w:spacing w:val="-8"/>
          <w:sz w:val="24"/>
        </w:rPr>
        <w:t> </w:t>
      </w:r>
      <w:r>
        <w:rPr>
          <w:sz w:val="24"/>
        </w:rPr>
        <w:t>of</w:t>
      </w:r>
      <w:r>
        <w:rPr>
          <w:spacing w:val="-8"/>
          <w:sz w:val="24"/>
        </w:rPr>
        <w:t> </w:t>
      </w:r>
      <w:r>
        <w:rPr>
          <w:sz w:val="24"/>
        </w:rPr>
        <w:t>gifts</w:t>
      </w:r>
      <w:r>
        <w:rPr>
          <w:spacing w:val="-8"/>
          <w:sz w:val="24"/>
        </w:rPr>
        <w:t> </w:t>
      </w:r>
      <w:r>
        <w:rPr>
          <w:sz w:val="24"/>
        </w:rPr>
        <w:t>or</w:t>
      </w:r>
      <w:r>
        <w:rPr>
          <w:spacing w:val="-8"/>
          <w:sz w:val="24"/>
        </w:rPr>
        <w:t> </w:t>
      </w:r>
      <w:r>
        <w:rPr>
          <w:sz w:val="24"/>
        </w:rPr>
        <w:t>money</w:t>
      </w:r>
      <w:r>
        <w:rPr>
          <w:spacing w:val="-8"/>
          <w:sz w:val="24"/>
        </w:rPr>
        <w:t> </w:t>
      </w:r>
      <w:r>
        <w:rPr>
          <w:sz w:val="24"/>
        </w:rPr>
        <w:t>from</w:t>
      </w:r>
      <w:r>
        <w:rPr>
          <w:spacing w:val="-7"/>
          <w:sz w:val="24"/>
        </w:rPr>
        <w:t> </w:t>
      </w:r>
      <w:r>
        <w:rPr>
          <w:sz w:val="24"/>
        </w:rPr>
        <w:t>clients</w:t>
      </w:r>
      <w:r>
        <w:rPr>
          <w:spacing w:val="-8"/>
          <w:sz w:val="24"/>
        </w:rPr>
        <w:t> </w:t>
      </w:r>
      <w:r>
        <w:rPr>
          <w:sz w:val="24"/>
        </w:rPr>
        <w:t>that</w:t>
      </w:r>
      <w:r>
        <w:rPr>
          <w:spacing w:val="-8"/>
          <w:sz w:val="24"/>
        </w:rPr>
        <w:t> </w:t>
      </w:r>
      <w:r>
        <w:rPr>
          <w:sz w:val="24"/>
        </w:rPr>
        <w:t>are</w:t>
      </w:r>
      <w:r>
        <w:rPr>
          <w:spacing w:val="-8"/>
          <w:sz w:val="24"/>
        </w:rPr>
        <w:t> </w:t>
      </w:r>
      <w:r>
        <w:rPr>
          <w:sz w:val="24"/>
        </w:rPr>
        <w:t>not</w:t>
      </w:r>
      <w:r>
        <w:rPr>
          <w:spacing w:val="-8"/>
          <w:sz w:val="24"/>
        </w:rPr>
        <w:t> </w:t>
      </w:r>
      <w:r>
        <w:rPr>
          <w:sz w:val="24"/>
        </w:rPr>
        <w:t>considered</w:t>
      </w:r>
      <w:r>
        <w:rPr>
          <w:spacing w:val="-8"/>
          <w:sz w:val="24"/>
        </w:rPr>
        <w:t> </w:t>
      </w:r>
      <w:r>
        <w:rPr>
          <w:sz w:val="24"/>
        </w:rPr>
        <w:t>standard</w:t>
      </w:r>
      <w:r>
        <w:rPr>
          <w:spacing w:val="-7"/>
          <w:sz w:val="24"/>
        </w:rPr>
        <w:t> </w:t>
      </w:r>
      <w:r>
        <w:rPr>
          <w:sz w:val="24"/>
        </w:rPr>
        <w:t>payment</w:t>
      </w:r>
      <w:r>
        <w:rPr>
          <w:spacing w:val="-8"/>
          <w:sz w:val="24"/>
        </w:rPr>
        <w:t> </w:t>
      </w:r>
      <w:r>
        <w:rPr>
          <w:sz w:val="24"/>
        </w:rPr>
        <w:t>for services received on behalf of the student’s agency or field setting; students shall </w:t>
      </w:r>
      <w:r>
        <w:rPr>
          <w:spacing w:val="-6"/>
          <w:sz w:val="24"/>
        </w:rPr>
        <w:t>not </w:t>
      </w:r>
      <w:r>
        <w:rPr>
          <w:sz w:val="24"/>
        </w:rPr>
        <w:t>ask for nor expect gifts from</w:t>
      </w:r>
      <w:r>
        <w:rPr>
          <w:spacing w:val="-19"/>
          <w:sz w:val="24"/>
        </w:rPr>
        <w:t> </w:t>
      </w:r>
      <w:r>
        <w:rPr>
          <w:sz w:val="24"/>
        </w:rPr>
        <w:t>clients.</w:t>
      </w:r>
    </w:p>
    <w:p>
      <w:pPr>
        <w:pStyle w:val="ListParagraph"/>
        <w:numPr>
          <w:ilvl w:val="2"/>
          <w:numId w:val="10"/>
        </w:numPr>
        <w:tabs>
          <w:tab w:pos="2303" w:val="left" w:leader="none"/>
          <w:tab w:pos="2304" w:val="left" w:leader="none"/>
        </w:tabs>
        <w:spacing w:line="244" w:lineRule="auto" w:before="0" w:after="0"/>
        <w:ind w:left="2305" w:right="215" w:hanging="360"/>
        <w:jc w:val="left"/>
        <w:rPr>
          <w:sz w:val="24"/>
        </w:rPr>
      </w:pPr>
      <w:r>
        <w:rPr>
          <w:sz w:val="24"/>
        </w:rPr>
        <w:t>Illegal</w:t>
      </w:r>
      <w:r>
        <w:rPr>
          <w:spacing w:val="-12"/>
          <w:sz w:val="24"/>
        </w:rPr>
        <w:t> </w:t>
      </w:r>
      <w:r>
        <w:rPr>
          <w:sz w:val="24"/>
        </w:rPr>
        <w:t>or</w:t>
      </w:r>
      <w:r>
        <w:rPr>
          <w:spacing w:val="-11"/>
          <w:sz w:val="24"/>
        </w:rPr>
        <w:t> </w:t>
      </w:r>
      <w:r>
        <w:rPr>
          <w:sz w:val="24"/>
        </w:rPr>
        <w:t>unethical</w:t>
      </w:r>
      <w:r>
        <w:rPr>
          <w:spacing w:val="-12"/>
          <w:sz w:val="24"/>
        </w:rPr>
        <w:t> </w:t>
      </w:r>
      <w:r>
        <w:rPr>
          <w:sz w:val="24"/>
        </w:rPr>
        <w:t>behavior</w:t>
      </w:r>
      <w:r>
        <w:rPr>
          <w:spacing w:val="-11"/>
          <w:sz w:val="24"/>
        </w:rPr>
        <w:t> </w:t>
      </w:r>
      <w:r>
        <w:rPr>
          <w:sz w:val="24"/>
        </w:rPr>
        <w:t>that</w:t>
      </w:r>
      <w:r>
        <w:rPr>
          <w:spacing w:val="-12"/>
          <w:sz w:val="24"/>
        </w:rPr>
        <w:t> </w:t>
      </w:r>
      <w:r>
        <w:rPr>
          <w:sz w:val="24"/>
        </w:rPr>
        <w:t>limits</w:t>
      </w:r>
      <w:r>
        <w:rPr>
          <w:spacing w:val="-11"/>
          <w:sz w:val="24"/>
        </w:rPr>
        <w:t> </w:t>
      </w:r>
      <w:r>
        <w:rPr>
          <w:sz w:val="24"/>
        </w:rPr>
        <w:t>or</w:t>
      </w:r>
      <w:r>
        <w:rPr>
          <w:spacing w:val="-12"/>
          <w:sz w:val="24"/>
        </w:rPr>
        <w:t> </w:t>
      </w:r>
      <w:r>
        <w:rPr>
          <w:sz w:val="24"/>
        </w:rPr>
        <w:t>takes</w:t>
      </w:r>
      <w:r>
        <w:rPr>
          <w:spacing w:val="-11"/>
          <w:sz w:val="24"/>
        </w:rPr>
        <w:t> </w:t>
      </w:r>
      <w:r>
        <w:rPr>
          <w:sz w:val="24"/>
        </w:rPr>
        <w:t>away</w:t>
      </w:r>
      <w:r>
        <w:rPr>
          <w:spacing w:val="-12"/>
          <w:sz w:val="24"/>
        </w:rPr>
        <w:t> </w:t>
      </w:r>
      <w:r>
        <w:rPr>
          <w:sz w:val="24"/>
        </w:rPr>
        <w:t>clients’</w:t>
      </w:r>
      <w:r>
        <w:rPr>
          <w:spacing w:val="-11"/>
          <w:sz w:val="24"/>
        </w:rPr>
        <w:t> </w:t>
      </w:r>
      <w:r>
        <w:rPr>
          <w:sz w:val="24"/>
        </w:rPr>
        <w:t>rights</w:t>
      </w:r>
      <w:r>
        <w:rPr>
          <w:spacing w:val="-12"/>
          <w:sz w:val="24"/>
        </w:rPr>
        <w:t> </w:t>
      </w:r>
      <w:r>
        <w:rPr>
          <w:sz w:val="24"/>
        </w:rPr>
        <w:t>or</w:t>
      </w:r>
      <w:r>
        <w:rPr>
          <w:spacing w:val="-11"/>
          <w:sz w:val="24"/>
        </w:rPr>
        <w:t> </w:t>
      </w:r>
      <w:r>
        <w:rPr>
          <w:sz w:val="24"/>
        </w:rPr>
        <w:t>results</w:t>
      </w:r>
      <w:r>
        <w:rPr>
          <w:spacing w:val="-12"/>
          <w:sz w:val="24"/>
        </w:rPr>
        <w:t> </w:t>
      </w:r>
      <w:r>
        <w:rPr>
          <w:sz w:val="24"/>
        </w:rPr>
        <w:t>in</w:t>
      </w:r>
      <w:r>
        <w:rPr>
          <w:spacing w:val="-11"/>
          <w:sz w:val="24"/>
        </w:rPr>
        <w:t> </w:t>
      </w:r>
      <w:r>
        <w:rPr>
          <w:sz w:val="24"/>
        </w:rPr>
        <w:t>financial, material, or emotional loss for clients or gain for social</w:t>
      </w:r>
      <w:r>
        <w:rPr>
          <w:spacing w:val="2"/>
          <w:sz w:val="24"/>
        </w:rPr>
        <w:t> </w:t>
      </w:r>
      <w:r>
        <w:rPr>
          <w:sz w:val="24"/>
        </w:rPr>
        <w:t>workstudents.</w:t>
      </w:r>
    </w:p>
    <w:p>
      <w:pPr>
        <w:pStyle w:val="ListParagraph"/>
        <w:numPr>
          <w:ilvl w:val="2"/>
          <w:numId w:val="10"/>
        </w:numPr>
        <w:tabs>
          <w:tab w:pos="2305" w:val="left" w:leader="none"/>
        </w:tabs>
        <w:spacing w:line="286" w:lineRule="exact" w:before="0" w:after="0"/>
        <w:ind w:left="2305" w:right="0" w:hanging="360"/>
        <w:jc w:val="left"/>
        <w:rPr>
          <w:sz w:val="24"/>
        </w:rPr>
      </w:pPr>
      <w:r>
        <w:rPr>
          <w:sz w:val="24"/>
        </w:rPr>
        <w:t>Sexual harassment or</w:t>
      </w:r>
      <w:r>
        <w:rPr>
          <w:spacing w:val="-13"/>
          <w:sz w:val="24"/>
        </w:rPr>
        <w:t> </w:t>
      </w:r>
      <w:r>
        <w:rPr>
          <w:sz w:val="24"/>
        </w:rPr>
        <w:t>misconduct.</w:t>
      </w:r>
    </w:p>
    <w:p>
      <w:pPr>
        <w:pStyle w:val="ListParagraph"/>
        <w:numPr>
          <w:ilvl w:val="1"/>
          <w:numId w:val="10"/>
        </w:numPr>
        <w:tabs>
          <w:tab w:pos="1585" w:val="left" w:leader="none"/>
        </w:tabs>
        <w:spacing w:line="240" w:lineRule="auto" w:before="0" w:after="0"/>
        <w:ind w:left="1585" w:right="0" w:hanging="360"/>
        <w:jc w:val="left"/>
        <w:rPr>
          <w:sz w:val="24"/>
        </w:rPr>
      </w:pPr>
      <w:r>
        <w:rPr>
          <w:sz w:val="24"/>
        </w:rPr>
        <w:t>Plagiarism, cheating, or any other form of academic dishonesty</w:t>
      </w:r>
      <w:r>
        <w:rPr>
          <w:spacing w:val="1"/>
          <w:sz w:val="24"/>
        </w:rPr>
        <w:t> </w:t>
      </w:r>
      <w:r>
        <w:rPr>
          <w:sz w:val="24"/>
        </w:rPr>
        <w:t>ordisruption.</w:t>
      </w:r>
    </w:p>
    <w:p>
      <w:pPr>
        <w:pStyle w:val="ListParagraph"/>
        <w:numPr>
          <w:ilvl w:val="1"/>
          <w:numId w:val="10"/>
        </w:numPr>
        <w:tabs>
          <w:tab w:pos="1585" w:val="left" w:leader="none"/>
        </w:tabs>
        <w:spacing w:line="240" w:lineRule="auto" w:before="0" w:after="0"/>
        <w:ind w:left="1585" w:right="0" w:hanging="360"/>
        <w:jc w:val="left"/>
        <w:rPr>
          <w:sz w:val="24"/>
        </w:rPr>
      </w:pPr>
      <w:r>
        <w:rPr>
          <w:sz w:val="24"/>
        </w:rPr>
        <w:t>Failure of student to maintain a 3.0 GPA beyond one semester of</w:t>
      </w:r>
      <w:r>
        <w:rPr>
          <w:spacing w:val="2"/>
          <w:sz w:val="24"/>
        </w:rPr>
        <w:t> </w:t>
      </w:r>
      <w:r>
        <w:rPr>
          <w:sz w:val="24"/>
        </w:rPr>
        <w:t>academicprobation.</w:t>
      </w:r>
    </w:p>
    <w:p>
      <w:pPr>
        <w:pStyle w:val="ListParagraph"/>
        <w:numPr>
          <w:ilvl w:val="1"/>
          <w:numId w:val="10"/>
        </w:numPr>
        <w:tabs>
          <w:tab w:pos="1585" w:val="left" w:leader="none"/>
        </w:tabs>
        <w:spacing w:line="240" w:lineRule="auto" w:before="0" w:after="0"/>
        <w:ind w:left="1585" w:right="212" w:hanging="360"/>
        <w:jc w:val="left"/>
        <w:rPr>
          <w:sz w:val="24"/>
        </w:rPr>
      </w:pPr>
      <w:r>
        <w:rPr>
          <w:sz w:val="24"/>
        </w:rPr>
        <w:t>Failure to follow policies and rules as outlined in the MSW Student Manual or the MSW Field Manual.</w:t>
      </w:r>
    </w:p>
    <w:p>
      <w:pPr>
        <w:pStyle w:val="ListParagraph"/>
        <w:numPr>
          <w:ilvl w:val="1"/>
          <w:numId w:val="10"/>
        </w:numPr>
        <w:tabs>
          <w:tab w:pos="1585" w:val="left" w:leader="none"/>
        </w:tabs>
        <w:spacing w:line="293" w:lineRule="exact" w:before="0" w:after="0"/>
        <w:ind w:left="1585" w:right="0" w:hanging="360"/>
        <w:jc w:val="left"/>
        <w:rPr>
          <w:sz w:val="24"/>
        </w:rPr>
      </w:pPr>
      <w:r>
        <w:rPr>
          <w:sz w:val="24"/>
        </w:rPr>
        <w:t>Completion of any course with the grade of “D+,” “D,” or</w:t>
      </w:r>
      <w:r>
        <w:rPr>
          <w:spacing w:val="-25"/>
          <w:sz w:val="24"/>
        </w:rPr>
        <w:t> </w:t>
      </w:r>
      <w:r>
        <w:rPr>
          <w:sz w:val="24"/>
        </w:rPr>
        <w:t>“F.”</w:t>
      </w:r>
    </w:p>
    <w:p>
      <w:pPr>
        <w:pStyle w:val="ListParagraph"/>
        <w:numPr>
          <w:ilvl w:val="1"/>
          <w:numId w:val="10"/>
        </w:numPr>
        <w:tabs>
          <w:tab w:pos="1585" w:val="left" w:leader="none"/>
        </w:tabs>
        <w:spacing w:line="240" w:lineRule="auto" w:before="0" w:after="0"/>
        <w:ind w:left="1585" w:right="0" w:hanging="360"/>
        <w:jc w:val="left"/>
        <w:rPr>
          <w:sz w:val="24"/>
        </w:rPr>
      </w:pPr>
      <w:r>
        <w:rPr>
          <w:sz w:val="24"/>
        </w:rPr>
        <w:t>Completion of more than 6 hours of coursework with a grade of "C-," "C"</w:t>
      </w:r>
      <w:r>
        <w:rPr>
          <w:spacing w:val="-4"/>
          <w:sz w:val="24"/>
        </w:rPr>
        <w:t> </w:t>
      </w:r>
      <w:r>
        <w:rPr>
          <w:spacing w:val="3"/>
          <w:sz w:val="24"/>
        </w:rPr>
        <w:t>or"C+".</w:t>
      </w:r>
    </w:p>
    <w:p>
      <w:pPr>
        <w:pStyle w:val="BodyText"/>
        <w:spacing w:before="9"/>
        <w:rPr>
          <w:sz w:val="23"/>
        </w:rPr>
      </w:pPr>
    </w:p>
    <w:p>
      <w:pPr>
        <w:pStyle w:val="BodyText"/>
        <w:ind w:left="863" w:right="212"/>
        <w:jc w:val="both"/>
      </w:pPr>
      <w:r>
        <w:rPr/>
        <w:t>Concerns about unethical behavior or poor academic performance will be addressed by the MSW program retention committee.</w:t>
      </w:r>
    </w:p>
    <w:p>
      <w:pPr>
        <w:pStyle w:val="BodyText"/>
        <w:spacing w:before="8"/>
        <w:rPr>
          <w:sz w:val="26"/>
        </w:rPr>
      </w:pPr>
    </w:p>
    <w:p>
      <w:pPr>
        <w:pStyle w:val="Heading2"/>
        <w:spacing w:before="1"/>
        <w:ind w:left="867"/>
        <w:jc w:val="both"/>
      </w:pPr>
      <w:r>
        <w:rPr>
          <w:color w:val="1F497C"/>
        </w:rPr>
        <w:t>MSW RETENTION COMMITTEE</w:t>
      </w:r>
    </w:p>
    <w:p>
      <w:pPr>
        <w:pStyle w:val="BodyText"/>
        <w:spacing w:before="10"/>
        <w:rPr>
          <w:b/>
          <w:sz w:val="29"/>
        </w:rPr>
      </w:pPr>
    </w:p>
    <w:p>
      <w:pPr>
        <w:pStyle w:val="BodyText"/>
        <w:ind w:left="867"/>
        <w:jc w:val="both"/>
      </w:pPr>
      <w:r>
        <w:rPr/>
        <w:t>The</w:t>
      </w:r>
      <w:r>
        <w:rPr>
          <w:spacing w:val="-11"/>
        </w:rPr>
        <w:t> </w:t>
      </w:r>
      <w:r>
        <w:rPr/>
        <w:t>Retention</w:t>
      </w:r>
      <w:r>
        <w:rPr>
          <w:spacing w:val="-11"/>
        </w:rPr>
        <w:t> </w:t>
      </w:r>
      <w:r>
        <w:rPr/>
        <w:t>Committee</w:t>
      </w:r>
      <w:r>
        <w:rPr>
          <w:spacing w:val="-10"/>
        </w:rPr>
        <w:t> </w:t>
      </w:r>
      <w:r>
        <w:rPr/>
        <w:t>will</w:t>
      </w:r>
      <w:r>
        <w:rPr>
          <w:spacing w:val="-11"/>
        </w:rPr>
        <w:t> </w:t>
      </w:r>
      <w:r>
        <w:rPr/>
        <w:t>be</w:t>
      </w:r>
      <w:r>
        <w:rPr>
          <w:spacing w:val="-10"/>
        </w:rPr>
        <w:t> </w:t>
      </w:r>
      <w:r>
        <w:rPr/>
        <w:t>integrated</w:t>
      </w:r>
      <w:r>
        <w:rPr>
          <w:spacing w:val="-11"/>
        </w:rPr>
        <w:t> </w:t>
      </w:r>
      <w:r>
        <w:rPr/>
        <w:t>by</w:t>
      </w:r>
      <w:r>
        <w:rPr>
          <w:spacing w:val="-11"/>
        </w:rPr>
        <w:t> </w:t>
      </w:r>
      <w:r>
        <w:rPr/>
        <w:t>the</w:t>
      </w:r>
      <w:r>
        <w:rPr>
          <w:spacing w:val="-10"/>
        </w:rPr>
        <w:t> </w:t>
      </w:r>
      <w:r>
        <w:rPr/>
        <w:t>MSW</w:t>
      </w:r>
      <w:r>
        <w:rPr>
          <w:spacing w:val="-11"/>
        </w:rPr>
        <w:t> </w:t>
      </w:r>
      <w:r>
        <w:rPr/>
        <w:t>Program</w:t>
      </w:r>
      <w:r>
        <w:rPr>
          <w:spacing w:val="-10"/>
        </w:rPr>
        <w:t> </w:t>
      </w:r>
      <w:r>
        <w:rPr/>
        <w:t>Director</w:t>
      </w:r>
      <w:r>
        <w:rPr>
          <w:spacing w:val="-11"/>
        </w:rPr>
        <w:t> </w:t>
      </w:r>
      <w:r>
        <w:rPr/>
        <w:t>(Chair),</w:t>
      </w:r>
      <w:r>
        <w:rPr>
          <w:spacing w:val="-11"/>
        </w:rPr>
        <w:t> </w:t>
      </w:r>
      <w:r>
        <w:rPr/>
        <w:t>the</w:t>
      </w:r>
      <w:r>
        <w:rPr>
          <w:spacing w:val="-10"/>
        </w:rPr>
        <w:t> </w:t>
      </w:r>
      <w:r>
        <w:rPr/>
        <w:t>MSW</w:t>
      </w:r>
      <w:r>
        <w:rPr>
          <w:spacing w:val="-11"/>
        </w:rPr>
        <w:t> </w:t>
      </w:r>
      <w:r>
        <w:rPr/>
        <w:t>Admissions</w:t>
      </w:r>
    </w:p>
    <w:p>
      <w:pPr>
        <w:spacing w:after="0"/>
        <w:jc w:val="both"/>
        <w:sectPr>
          <w:pgSz w:w="12240" w:h="15840"/>
          <w:pgMar w:header="0" w:footer="992" w:top="1380" w:bottom="1180" w:left="300" w:right="920"/>
        </w:sectPr>
      </w:pPr>
    </w:p>
    <w:p>
      <w:pPr>
        <w:pStyle w:val="BodyText"/>
        <w:spacing w:before="73"/>
        <w:ind w:left="867" w:right="104"/>
        <w:jc w:val="both"/>
      </w:pPr>
      <w:r>
        <w:rPr/>
        <w:t>Coordinator, and two other faculty members, appointed annually on a rotating basis. If the unethical behavior or poor academic performance occurs in field placement, the program retention committee will also include the MSW Field Director and may include the Field Liaison. Student will be notified of retention</w:t>
      </w:r>
      <w:r>
        <w:rPr>
          <w:spacing w:val="-6"/>
        </w:rPr>
        <w:t> </w:t>
      </w:r>
      <w:r>
        <w:rPr/>
        <w:t>committee</w:t>
      </w:r>
      <w:r>
        <w:rPr>
          <w:spacing w:val="-5"/>
        </w:rPr>
        <w:t> </w:t>
      </w:r>
      <w:r>
        <w:rPr/>
        <w:t>meeting</w:t>
      </w:r>
      <w:r>
        <w:rPr>
          <w:spacing w:val="-6"/>
        </w:rPr>
        <w:t> </w:t>
      </w:r>
      <w:r>
        <w:rPr/>
        <w:t>and</w:t>
      </w:r>
      <w:r>
        <w:rPr>
          <w:spacing w:val="-5"/>
        </w:rPr>
        <w:t> </w:t>
      </w:r>
      <w:r>
        <w:rPr/>
        <w:t>may</w:t>
      </w:r>
      <w:r>
        <w:rPr>
          <w:spacing w:val="-6"/>
        </w:rPr>
        <w:t> </w:t>
      </w:r>
      <w:r>
        <w:rPr/>
        <w:t>attend,</w:t>
      </w:r>
      <w:r>
        <w:rPr>
          <w:spacing w:val="-5"/>
        </w:rPr>
        <w:t> </w:t>
      </w:r>
      <w:r>
        <w:rPr/>
        <w:t>but</w:t>
      </w:r>
      <w:r>
        <w:rPr>
          <w:spacing w:val="-6"/>
        </w:rPr>
        <w:t> </w:t>
      </w:r>
      <w:r>
        <w:rPr/>
        <w:t>it</w:t>
      </w:r>
      <w:r>
        <w:rPr>
          <w:spacing w:val="-5"/>
        </w:rPr>
        <w:t> </w:t>
      </w:r>
      <w:r>
        <w:rPr/>
        <w:t>is</w:t>
      </w:r>
      <w:r>
        <w:rPr>
          <w:spacing w:val="-6"/>
        </w:rPr>
        <w:t> </w:t>
      </w:r>
      <w:r>
        <w:rPr/>
        <w:t>not</w:t>
      </w:r>
      <w:r>
        <w:rPr>
          <w:spacing w:val="-5"/>
        </w:rPr>
        <w:t> </w:t>
      </w:r>
      <w:r>
        <w:rPr/>
        <w:t>mandatory.</w:t>
      </w:r>
      <w:r>
        <w:rPr>
          <w:spacing w:val="-6"/>
        </w:rPr>
        <w:t> </w:t>
      </w:r>
      <w:r>
        <w:rPr/>
        <w:t>Student</w:t>
      </w:r>
      <w:r>
        <w:rPr>
          <w:spacing w:val="-5"/>
        </w:rPr>
        <w:t> </w:t>
      </w:r>
      <w:r>
        <w:rPr/>
        <w:t>will</w:t>
      </w:r>
      <w:r>
        <w:rPr>
          <w:spacing w:val="-6"/>
        </w:rPr>
        <w:t> </w:t>
      </w:r>
      <w:r>
        <w:rPr/>
        <w:t>be</w:t>
      </w:r>
      <w:r>
        <w:rPr>
          <w:spacing w:val="-5"/>
        </w:rPr>
        <w:t> </w:t>
      </w:r>
      <w:r>
        <w:rPr/>
        <w:t>notified</w:t>
      </w:r>
      <w:r>
        <w:rPr>
          <w:spacing w:val="-6"/>
        </w:rPr>
        <w:t> </w:t>
      </w:r>
      <w:r>
        <w:rPr/>
        <w:t>by</w:t>
      </w:r>
      <w:r>
        <w:rPr>
          <w:spacing w:val="-5"/>
        </w:rPr>
        <w:t> </w:t>
      </w:r>
      <w:r>
        <w:rPr/>
        <w:t>email of date of meeting and meeting</w:t>
      </w:r>
      <w:r>
        <w:rPr>
          <w:spacing w:val="-2"/>
        </w:rPr>
        <w:t> </w:t>
      </w:r>
      <w:r>
        <w:rPr/>
        <w:t>outcome.</w:t>
      </w:r>
    </w:p>
    <w:p>
      <w:pPr>
        <w:pStyle w:val="BodyText"/>
        <w:spacing w:before="1"/>
        <w:rPr>
          <w:sz w:val="27"/>
        </w:rPr>
      </w:pPr>
    </w:p>
    <w:p>
      <w:pPr>
        <w:pStyle w:val="BodyText"/>
        <w:ind w:left="865" w:right="213"/>
        <w:jc w:val="both"/>
      </w:pPr>
      <w:r>
        <w:rPr/>
        <w:t>The retention committee will meet once every semester to address students whose academic performance fails to meet minimum requirements. The MSW office will identify students immediately upon official grade postings and solicit information from relevant faculty. The MSW program director will then convene the retention committee and student. During the retention committee meeting,</w:t>
      </w:r>
      <w:r>
        <w:rPr>
          <w:spacing w:val="-38"/>
        </w:rPr>
        <w:t> </w:t>
      </w:r>
      <w:r>
        <w:rPr/>
        <w:t>the retention committee will review oral and written reports of the student’s unethical behavior or poor academic</w:t>
      </w:r>
      <w:r>
        <w:rPr>
          <w:spacing w:val="-13"/>
        </w:rPr>
        <w:t> </w:t>
      </w:r>
      <w:r>
        <w:rPr/>
        <w:t>performance.</w:t>
      </w:r>
      <w:r>
        <w:rPr>
          <w:spacing w:val="-13"/>
        </w:rPr>
        <w:t> </w:t>
      </w:r>
      <w:r>
        <w:rPr/>
        <w:t>The</w:t>
      </w:r>
      <w:r>
        <w:rPr>
          <w:spacing w:val="-12"/>
        </w:rPr>
        <w:t> </w:t>
      </w:r>
      <w:r>
        <w:rPr/>
        <w:t>student</w:t>
      </w:r>
      <w:r>
        <w:rPr>
          <w:spacing w:val="-13"/>
        </w:rPr>
        <w:t> </w:t>
      </w:r>
      <w:r>
        <w:rPr/>
        <w:t>will</w:t>
      </w:r>
      <w:r>
        <w:rPr>
          <w:spacing w:val="-12"/>
        </w:rPr>
        <w:t> </w:t>
      </w:r>
      <w:r>
        <w:rPr/>
        <w:t>be</w:t>
      </w:r>
      <w:r>
        <w:rPr>
          <w:spacing w:val="-13"/>
        </w:rPr>
        <w:t> </w:t>
      </w:r>
      <w:r>
        <w:rPr/>
        <w:t>invited</w:t>
      </w:r>
      <w:r>
        <w:rPr>
          <w:spacing w:val="-12"/>
        </w:rPr>
        <w:t> </w:t>
      </w:r>
      <w:r>
        <w:rPr/>
        <w:t>to</w:t>
      </w:r>
      <w:r>
        <w:rPr>
          <w:spacing w:val="-13"/>
        </w:rPr>
        <w:t> </w:t>
      </w:r>
      <w:r>
        <w:rPr/>
        <w:t>the</w:t>
      </w:r>
      <w:r>
        <w:rPr>
          <w:spacing w:val="-12"/>
        </w:rPr>
        <w:t> </w:t>
      </w:r>
      <w:r>
        <w:rPr/>
        <w:t>meeting</w:t>
      </w:r>
      <w:r>
        <w:rPr>
          <w:spacing w:val="-13"/>
        </w:rPr>
        <w:t> </w:t>
      </w:r>
      <w:r>
        <w:rPr/>
        <w:t>and</w:t>
      </w:r>
      <w:r>
        <w:rPr>
          <w:spacing w:val="-12"/>
        </w:rPr>
        <w:t> </w:t>
      </w:r>
      <w:r>
        <w:rPr/>
        <w:t>given</w:t>
      </w:r>
      <w:r>
        <w:rPr>
          <w:spacing w:val="-13"/>
        </w:rPr>
        <w:t> </w:t>
      </w:r>
      <w:r>
        <w:rPr/>
        <w:t>the</w:t>
      </w:r>
      <w:r>
        <w:rPr>
          <w:spacing w:val="-12"/>
        </w:rPr>
        <w:t> </w:t>
      </w:r>
      <w:r>
        <w:rPr/>
        <w:t>opportunity</w:t>
      </w:r>
      <w:r>
        <w:rPr>
          <w:spacing w:val="-13"/>
        </w:rPr>
        <w:t> </w:t>
      </w:r>
      <w:r>
        <w:rPr/>
        <w:t>to</w:t>
      </w:r>
      <w:r>
        <w:rPr>
          <w:spacing w:val="-12"/>
        </w:rPr>
        <w:t> </w:t>
      </w:r>
      <w:r>
        <w:rPr/>
        <w:t>address the committee. Upon hearing and reviewing relevant information, the committee will deliberate and decide the appropriate course of action. Courses of action depend on specific issue, may range from a warning to dismissal from the MSW program and may include asking student to take specific actions to improve performance such as, but not limited to, accessing the writing center for support. Immediately following deliberation, the retention committee chair will inform student in writing of outcome of</w:t>
      </w:r>
      <w:r>
        <w:rPr>
          <w:spacing w:val="-1"/>
        </w:rPr>
        <w:t> </w:t>
      </w:r>
      <w:r>
        <w:rPr/>
        <w:t>meeting.</w:t>
      </w:r>
    </w:p>
    <w:p>
      <w:pPr>
        <w:pStyle w:val="BodyText"/>
        <w:spacing w:before="4"/>
        <w:rPr>
          <w:sz w:val="29"/>
        </w:rPr>
      </w:pPr>
    </w:p>
    <w:p>
      <w:pPr>
        <w:pStyle w:val="BodyText"/>
        <w:ind w:left="867" w:right="104"/>
        <w:jc w:val="both"/>
      </w:pPr>
      <w:r>
        <w:rPr/>
        <w:t>In addition to the regularly scheduled retention committee meetings every semester, </w:t>
      </w:r>
      <w:r>
        <w:rPr>
          <w:i/>
        </w:rPr>
        <w:t>ad hoc </w:t>
      </w:r>
      <w:r>
        <w:rPr/>
        <w:t>program retention committee meetings can be initiated due to academic misconduct, unethical behavior, problems in field, etc.by the instructor, the academic advisor, the student, the field director(s), the admissions coordinator, and/or the MSW program director. The program committee meeting must be requested in writing to the MSW program director. The MSW program office will schedule the meeting and inform involved parties.</w:t>
      </w:r>
    </w:p>
    <w:p>
      <w:pPr>
        <w:pStyle w:val="BodyText"/>
        <w:spacing w:before="9"/>
        <w:rPr>
          <w:sz w:val="29"/>
        </w:rPr>
      </w:pPr>
    </w:p>
    <w:p>
      <w:pPr>
        <w:pStyle w:val="BodyText"/>
        <w:spacing w:before="1"/>
        <w:ind w:left="867"/>
        <w:jc w:val="both"/>
      </w:pPr>
      <w:r>
        <w:rPr/>
        <w:t>The MSW program office will retain a copy of decisions in the student’s file.</w:t>
      </w:r>
    </w:p>
    <w:p>
      <w:pPr>
        <w:pStyle w:val="BodyText"/>
        <w:spacing w:before="11"/>
        <w:rPr>
          <w:sz w:val="23"/>
        </w:rPr>
      </w:pPr>
    </w:p>
    <w:p>
      <w:pPr>
        <w:pStyle w:val="BodyText"/>
        <w:ind w:left="863" w:right="213"/>
        <w:jc w:val="both"/>
      </w:pPr>
      <w:r>
        <w:rPr/>
        <w:t>Students who wish to appeal the decision to terminate or other decision must first write a letter of appeal to the Chair of the School of Social Work. If the dispute is not resolved by the chair, students must</w:t>
      </w:r>
      <w:r>
        <w:rPr>
          <w:spacing w:val="-11"/>
        </w:rPr>
        <w:t> </w:t>
      </w:r>
      <w:r>
        <w:rPr/>
        <w:t>follow</w:t>
      </w:r>
      <w:r>
        <w:rPr>
          <w:spacing w:val="-10"/>
        </w:rPr>
        <w:t> </w:t>
      </w:r>
      <w:r>
        <w:rPr/>
        <w:t>the</w:t>
      </w:r>
      <w:r>
        <w:rPr>
          <w:spacing w:val="-10"/>
        </w:rPr>
        <w:t> </w:t>
      </w:r>
      <w:r>
        <w:rPr/>
        <w:t>Graduate</w:t>
      </w:r>
      <w:r>
        <w:rPr>
          <w:spacing w:val="-11"/>
        </w:rPr>
        <w:t> </w:t>
      </w:r>
      <w:r>
        <w:rPr/>
        <w:t>School</w:t>
      </w:r>
      <w:r>
        <w:rPr>
          <w:spacing w:val="-10"/>
        </w:rPr>
        <w:t> </w:t>
      </w:r>
      <w:r>
        <w:rPr/>
        <w:t>procedures</w:t>
      </w:r>
      <w:r>
        <w:rPr>
          <w:spacing w:val="-10"/>
        </w:rPr>
        <w:t> </w:t>
      </w:r>
      <w:r>
        <w:rPr/>
        <w:t>outlined</w:t>
      </w:r>
      <w:r>
        <w:rPr>
          <w:spacing w:val="-11"/>
        </w:rPr>
        <w:t> </w:t>
      </w:r>
      <w:r>
        <w:rPr/>
        <w:t>in</w:t>
      </w:r>
      <w:r>
        <w:rPr>
          <w:spacing w:val="-10"/>
        </w:rPr>
        <w:t> </w:t>
      </w:r>
      <w:r>
        <w:rPr/>
        <w:t>the</w:t>
      </w:r>
      <w:r>
        <w:rPr>
          <w:spacing w:val="-10"/>
        </w:rPr>
        <w:t> </w:t>
      </w:r>
      <w:r>
        <w:rPr/>
        <w:t>Graduate</w:t>
      </w:r>
      <w:r>
        <w:rPr>
          <w:spacing w:val="-11"/>
        </w:rPr>
        <w:t> </w:t>
      </w:r>
      <w:r>
        <w:rPr/>
        <w:t>Catalog</w:t>
      </w:r>
      <w:r>
        <w:rPr>
          <w:spacing w:val="-10"/>
        </w:rPr>
        <w:t> </w:t>
      </w:r>
      <w:r>
        <w:rPr/>
        <w:t>and</w:t>
      </w:r>
      <w:r>
        <w:rPr>
          <w:spacing w:val="-10"/>
        </w:rPr>
        <w:t> </w:t>
      </w:r>
      <w:r>
        <w:rPr/>
        <w:t>in</w:t>
      </w:r>
      <w:r>
        <w:rPr>
          <w:spacing w:val="-11"/>
        </w:rPr>
        <w:t> </w:t>
      </w:r>
      <w:r>
        <w:rPr/>
        <w:t>the</w:t>
      </w:r>
      <w:r>
        <w:rPr>
          <w:spacing w:val="-10"/>
        </w:rPr>
        <w:t> </w:t>
      </w:r>
      <w:r>
        <w:rPr/>
        <w:t>sectionbelow. Students who wish to appeal the decision to terminate must follow the Graduate School procedures outlined</w:t>
      </w:r>
      <w:r>
        <w:rPr>
          <w:spacing w:val="-1"/>
        </w:rPr>
        <w:t> </w:t>
      </w:r>
      <w:r>
        <w:rPr/>
        <w:t>below.</w:t>
      </w:r>
    </w:p>
    <w:p>
      <w:pPr>
        <w:pStyle w:val="BodyText"/>
        <w:rPr>
          <w:sz w:val="28"/>
        </w:rPr>
      </w:pPr>
    </w:p>
    <w:p>
      <w:pPr>
        <w:pStyle w:val="Heading2"/>
        <w:spacing w:before="219"/>
        <w:jc w:val="both"/>
      </w:pPr>
      <w:r>
        <w:rPr>
          <w:color w:val="1F497C"/>
        </w:rPr>
        <w:t>GRADUATE SCHOOL TERMINATION PROCEDURES</w:t>
      </w:r>
    </w:p>
    <w:p>
      <w:pPr>
        <w:pStyle w:val="BodyText"/>
        <w:spacing w:before="10"/>
        <w:rPr>
          <w:b/>
          <w:sz w:val="22"/>
        </w:rPr>
      </w:pPr>
    </w:p>
    <w:p>
      <w:pPr>
        <w:pStyle w:val="BodyText"/>
        <w:ind w:left="865" w:right="215"/>
        <w:jc w:val="both"/>
      </w:pPr>
      <w:r>
        <w:rPr/>
        <w:t>Any</w:t>
      </w:r>
      <w:r>
        <w:rPr>
          <w:spacing w:val="-10"/>
        </w:rPr>
        <w:t> </w:t>
      </w:r>
      <w:r>
        <w:rPr/>
        <w:t>action</w:t>
      </w:r>
      <w:r>
        <w:rPr>
          <w:spacing w:val="-10"/>
        </w:rPr>
        <w:t> </w:t>
      </w:r>
      <w:r>
        <w:rPr/>
        <w:t>that</w:t>
      </w:r>
      <w:r>
        <w:rPr>
          <w:spacing w:val="-9"/>
        </w:rPr>
        <w:t> </w:t>
      </w:r>
      <w:r>
        <w:rPr/>
        <w:t>results</w:t>
      </w:r>
      <w:r>
        <w:rPr>
          <w:spacing w:val="-10"/>
        </w:rPr>
        <w:t> </w:t>
      </w:r>
      <w:r>
        <w:rPr/>
        <w:t>in</w:t>
      </w:r>
      <w:r>
        <w:rPr>
          <w:spacing w:val="-9"/>
        </w:rPr>
        <w:t> </w:t>
      </w:r>
      <w:r>
        <w:rPr/>
        <w:t>a</w:t>
      </w:r>
      <w:r>
        <w:rPr>
          <w:spacing w:val="-10"/>
        </w:rPr>
        <w:t> </w:t>
      </w:r>
      <w:r>
        <w:rPr/>
        <w:t>student</w:t>
      </w:r>
      <w:r>
        <w:rPr>
          <w:spacing w:val="-9"/>
        </w:rPr>
        <w:t> </w:t>
      </w:r>
      <w:r>
        <w:rPr/>
        <w:t>being</w:t>
      </w:r>
      <w:r>
        <w:rPr>
          <w:spacing w:val="-10"/>
        </w:rPr>
        <w:t> </w:t>
      </w:r>
      <w:r>
        <w:rPr/>
        <w:t>terminated</w:t>
      </w:r>
      <w:r>
        <w:rPr>
          <w:spacing w:val="-9"/>
        </w:rPr>
        <w:t> </w:t>
      </w:r>
      <w:r>
        <w:rPr/>
        <w:t>may</w:t>
      </w:r>
      <w:r>
        <w:rPr>
          <w:spacing w:val="-11"/>
        </w:rPr>
        <w:t> </w:t>
      </w:r>
      <w:r>
        <w:rPr/>
        <w:t>be</w:t>
      </w:r>
      <w:r>
        <w:rPr>
          <w:spacing w:val="-9"/>
        </w:rPr>
        <w:t> </w:t>
      </w:r>
      <w:r>
        <w:rPr/>
        <w:t>appealed</w:t>
      </w:r>
      <w:r>
        <w:rPr>
          <w:spacing w:val="-10"/>
        </w:rPr>
        <w:t> </w:t>
      </w:r>
      <w:r>
        <w:rPr/>
        <w:t>under</w:t>
      </w:r>
      <w:r>
        <w:rPr>
          <w:spacing w:val="-9"/>
        </w:rPr>
        <w:t> </w:t>
      </w:r>
      <w:r>
        <w:rPr/>
        <w:t>the</w:t>
      </w:r>
      <w:r>
        <w:rPr>
          <w:spacing w:val="-10"/>
        </w:rPr>
        <w:t> </w:t>
      </w:r>
      <w:r>
        <w:rPr/>
        <w:t>following</w:t>
      </w:r>
      <w:r>
        <w:rPr>
          <w:spacing w:val="-9"/>
        </w:rPr>
        <w:t> </w:t>
      </w:r>
      <w:r>
        <w:rPr/>
        <w:t>procedures. These actions may include a second failure on comprehensive examinations, a second semester on academic probation, or an action of a program retention committee. Appeals are to be presented and hearings on appeals convened only during periods in which the academic units of the University are in session. All parties concerned must receive copies</w:t>
      </w:r>
      <w:r>
        <w:rPr>
          <w:spacing w:val="-1"/>
        </w:rPr>
        <w:t> </w:t>
      </w:r>
      <w:r>
        <w:rPr/>
        <w:t>of:</w:t>
      </w:r>
    </w:p>
    <w:p>
      <w:pPr>
        <w:spacing w:after="0"/>
        <w:jc w:val="both"/>
        <w:sectPr>
          <w:pgSz w:w="12240" w:h="15840"/>
          <w:pgMar w:header="0" w:footer="992" w:top="1380" w:bottom="1180" w:left="300" w:right="920"/>
        </w:sectPr>
      </w:pPr>
    </w:p>
    <w:p>
      <w:pPr>
        <w:pStyle w:val="ListParagraph"/>
        <w:numPr>
          <w:ilvl w:val="0"/>
          <w:numId w:val="11"/>
        </w:numPr>
        <w:tabs>
          <w:tab w:pos="1585" w:val="left" w:leader="none"/>
        </w:tabs>
        <w:spacing w:line="240" w:lineRule="auto" w:before="73" w:after="0"/>
        <w:ind w:left="1585" w:right="0" w:hanging="360"/>
        <w:jc w:val="left"/>
        <w:rPr>
          <w:sz w:val="24"/>
        </w:rPr>
      </w:pPr>
      <w:r>
        <w:rPr>
          <w:sz w:val="24"/>
        </w:rPr>
        <w:t>The requests for a</w:t>
      </w:r>
      <w:r>
        <w:rPr>
          <w:spacing w:val="-8"/>
          <w:sz w:val="24"/>
        </w:rPr>
        <w:t> </w:t>
      </w:r>
      <w:r>
        <w:rPr>
          <w:sz w:val="24"/>
        </w:rPr>
        <w:t>hearing;</w:t>
      </w:r>
    </w:p>
    <w:p>
      <w:pPr>
        <w:pStyle w:val="ListParagraph"/>
        <w:numPr>
          <w:ilvl w:val="0"/>
          <w:numId w:val="11"/>
        </w:numPr>
        <w:tabs>
          <w:tab w:pos="1585" w:val="left" w:leader="none"/>
        </w:tabs>
        <w:spacing w:line="240" w:lineRule="auto" w:before="0" w:after="0"/>
        <w:ind w:left="1585" w:right="0" w:hanging="360"/>
        <w:jc w:val="left"/>
        <w:rPr>
          <w:sz w:val="24"/>
        </w:rPr>
      </w:pPr>
      <w:r>
        <w:rPr>
          <w:sz w:val="24"/>
        </w:rPr>
        <w:t>Notices of the time and location of the hearing;</w:t>
      </w:r>
      <w:r>
        <w:rPr>
          <w:spacing w:val="-16"/>
          <w:sz w:val="24"/>
        </w:rPr>
        <w:t> </w:t>
      </w:r>
      <w:r>
        <w:rPr>
          <w:sz w:val="24"/>
        </w:rPr>
        <w:t>and</w:t>
      </w:r>
    </w:p>
    <w:p>
      <w:pPr>
        <w:pStyle w:val="ListParagraph"/>
        <w:numPr>
          <w:ilvl w:val="0"/>
          <w:numId w:val="11"/>
        </w:numPr>
        <w:tabs>
          <w:tab w:pos="1585" w:val="left" w:leader="none"/>
        </w:tabs>
        <w:spacing w:line="240" w:lineRule="auto" w:before="0" w:after="0"/>
        <w:ind w:left="1585" w:right="0" w:hanging="360"/>
        <w:jc w:val="left"/>
        <w:rPr>
          <w:sz w:val="24"/>
        </w:rPr>
      </w:pPr>
      <w:r>
        <w:rPr>
          <w:sz w:val="24"/>
        </w:rPr>
        <w:t>Disposition of the hearing request in each step of the appeal</w:t>
      </w:r>
      <w:r>
        <w:rPr>
          <w:spacing w:val="-33"/>
          <w:sz w:val="24"/>
        </w:rPr>
        <w:t> </w:t>
      </w:r>
      <w:r>
        <w:rPr>
          <w:sz w:val="24"/>
        </w:rPr>
        <w:t>procedure.</w:t>
      </w:r>
    </w:p>
    <w:p>
      <w:pPr>
        <w:pStyle w:val="BodyText"/>
        <w:spacing w:before="9"/>
        <w:rPr>
          <w:sz w:val="22"/>
        </w:rPr>
      </w:pPr>
    </w:p>
    <w:p>
      <w:pPr>
        <w:pStyle w:val="BodyText"/>
        <w:ind w:left="863"/>
      </w:pPr>
      <w:r>
        <w:rPr/>
        <w:t>As soon as notice is received that the appeal is continuing, copies of all correspondence and other records pertaining to the complaint must be forwarded to all concerned.</w:t>
      </w:r>
    </w:p>
    <w:p>
      <w:pPr>
        <w:pStyle w:val="BodyText"/>
        <w:spacing w:before="10"/>
        <w:rPr>
          <w:sz w:val="22"/>
        </w:rPr>
      </w:pPr>
    </w:p>
    <w:p>
      <w:pPr>
        <w:pStyle w:val="Heading3"/>
        <w:rPr>
          <w:i/>
        </w:rPr>
      </w:pPr>
      <w:r>
        <w:rPr>
          <w:i/>
          <w:color w:val="1F497C"/>
        </w:rPr>
        <w:t>Step 1</w:t>
      </w:r>
    </w:p>
    <w:p>
      <w:pPr>
        <w:pStyle w:val="ListParagraph"/>
        <w:numPr>
          <w:ilvl w:val="0"/>
          <w:numId w:val="12"/>
        </w:numPr>
        <w:tabs>
          <w:tab w:pos="1119" w:val="left" w:leader="none"/>
        </w:tabs>
        <w:spacing w:line="244" w:lineRule="auto" w:before="0" w:after="0"/>
        <w:ind w:left="865" w:right="1082" w:firstLine="0"/>
        <w:jc w:val="left"/>
        <w:rPr>
          <w:sz w:val="24"/>
        </w:rPr>
      </w:pPr>
      <w:r>
        <w:rPr>
          <w:i/>
          <w:sz w:val="24"/>
        </w:rPr>
        <w:t>Time Limitation: </w:t>
      </w:r>
      <w:r>
        <w:rPr>
          <w:sz w:val="24"/>
        </w:rPr>
        <w:t>Thirty (30) class days following the semester in which the terminationwas received.</w:t>
      </w:r>
    </w:p>
    <w:p>
      <w:pPr>
        <w:pStyle w:val="BodyText"/>
        <w:spacing w:before="2"/>
        <w:rPr>
          <w:sz w:val="22"/>
        </w:rPr>
      </w:pPr>
    </w:p>
    <w:p>
      <w:pPr>
        <w:pStyle w:val="BodyText"/>
        <w:ind w:left="865"/>
      </w:pPr>
      <w:r>
        <w:rPr/>
        <w:t>The</w:t>
      </w:r>
      <w:r>
        <w:rPr>
          <w:spacing w:val="-9"/>
        </w:rPr>
        <w:t> </w:t>
      </w:r>
      <w:r>
        <w:rPr/>
        <w:t>student</w:t>
      </w:r>
      <w:r>
        <w:rPr>
          <w:spacing w:val="-8"/>
        </w:rPr>
        <w:t> </w:t>
      </w:r>
      <w:r>
        <w:rPr/>
        <w:t>must</w:t>
      </w:r>
      <w:r>
        <w:rPr>
          <w:spacing w:val="-9"/>
        </w:rPr>
        <w:t> </w:t>
      </w:r>
      <w:r>
        <w:rPr/>
        <w:t>submit</w:t>
      </w:r>
      <w:r>
        <w:rPr>
          <w:spacing w:val="-8"/>
        </w:rPr>
        <w:t> </w:t>
      </w:r>
      <w:r>
        <w:rPr/>
        <w:t>a</w:t>
      </w:r>
      <w:r>
        <w:rPr>
          <w:spacing w:val="-8"/>
        </w:rPr>
        <w:t> </w:t>
      </w:r>
      <w:r>
        <w:rPr/>
        <w:t>written</w:t>
      </w:r>
      <w:r>
        <w:rPr>
          <w:spacing w:val="-9"/>
        </w:rPr>
        <w:t> </w:t>
      </w:r>
      <w:r>
        <w:rPr/>
        <w:t>request</w:t>
      </w:r>
      <w:r>
        <w:rPr>
          <w:spacing w:val="-8"/>
        </w:rPr>
        <w:t> </w:t>
      </w:r>
      <w:r>
        <w:rPr/>
        <w:t>to</w:t>
      </w:r>
      <w:r>
        <w:rPr>
          <w:spacing w:val="-9"/>
        </w:rPr>
        <w:t> </w:t>
      </w:r>
      <w:r>
        <w:rPr/>
        <w:t>the</w:t>
      </w:r>
      <w:r>
        <w:rPr>
          <w:spacing w:val="-8"/>
        </w:rPr>
        <w:t> </w:t>
      </w:r>
      <w:r>
        <w:rPr/>
        <w:t>school</w:t>
      </w:r>
      <w:r>
        <w:rPr>
          <w:spacing w:val="-8"/>
        </w:rPr>
        <w:t> </w:t>
      </w:r>
      <w:r>
        <w:rPr/>
        <w:t>chair</w:t>
      </w:r>
      <w:r>
        <w:rPr>
          <w:spacing w:val="-9"/>
        </w:rPr>
        <w:t> </w:t>
      </w:r>
      <w:r>
        <w:rPr/>
        <w:t>for</w:t>
      </w:r>
      <w:r>
        <w:rPr>
          <w:spacing w:val="-8"/>
        </w:rPr>
        <w:t> </w:t>
      </w:r>
      <w:r>
        <w:rPr/>
        <w:t>a</w:t>
      </w:r>
      <w:r>
        <w:rPr>
          <w:spacing w:val="-9"/>
        </w:rPr>
        <w:t> </w:t>
      </w:r>
      <w:r>
        <w:rPr/>
        <w:t>hearing</w:t>
      </w:r>
      <w:r>
        <w:rPr>
          <w:spacing w:val="-8"/>
        </w:rPr>
        <w:t> </w:t>
      </w:r>
      <w:r>
        <w:rPr/>
        <w:t>to</w:t>
      </w:r>
      <w:r>
        <w:rPr>
          <w:spacing w:val="-8"/>
        </w:rPr>
        <w:t> </w:t>
      </w:r>
      <w:r>
        <w:rPr/>
        <w:t>appeal</w:t>
      </w:r>
      <w:r>
        <w:rPr>
          <w:spacing w:val="-9"/>
        </w:rPr>
        <w:t> </w:t>
      </w:r>
      <w:r>
        <w:rPr/>
        <w:t>termination</w:t>
      </w:r>
      <w:r>
        <w:rPr>
          <w:spacing w:val="-8"/>
        </w:rPr>
        <w:t> </w:t>
      </w:r>
      <w:r>
        <w:rPr/>
        <w:t>from the program. The request should state the factual basis for the</w:t>
      </w:r>
      <w:r>
        <w:rPr>
          <w:spacing w:val="-2"/>
        </w:rPr>
        <w:t> </w:t>
      </w:r>
      <w:r>
        <w:rPr/>
        <w:t>appeal.</w:t>
      </w:r>
    </w:p>
    <w:p>
      <w:pPr>
        <w:pStyle w:val="BodyText"/>
        <w:spacing w:before="10"/>
        <w:rPr>
          <w:sz w:val="22"/>
        </w:rPr>
      </w:pPr>
    </w:p>
    <w:p>
      <w:pPr>
        <w:pStyle w:val="ListParagraph"/>
        <w:numPr>
          <w:ilvl w:val="0"/>
          <w:numId w:val="12"/>
        </w:numPr>
        <w:tabs>
          <w:tab w:pos="1109" w:val="left" w:leader="none"/>
        </w:tabs>
        <w:spacing w:line="240" w:lineRule="auto" w:before="0" w:after="0"/>
        <w:ind w:left="1109" w:right="0" w:hanging="244"/>
        <w:jc w:val="left"/>
        <w:rPr>
          <w:sz w:val="24"/>
        </w:rPr>
      </w:pPr>
      <w:r>
        <w:rPr>
          <w:i/>
          <w:sz w:val="24"/>
        </w:rPr>
        <w:t>Time Limitation: </w:t>
      </w:r>
      <w:r>
        <w:rPr>
          <w:sz w:val="24"/>
        </w:rPr>
        <w:t>Fifteen (15) class days following receipt of the</w:t>
      </w:r>
      <w:r>
        <w:rPr>
          <w:spacing w:val="-25"/>
          <w:sz w:val="24"/>
        </w:rPr>
        <w:t> </w:t>
      </w:r>
      <w:r>
        <w:rPr>
          <w:sz w:val="24"/>
        </w:rPr>
        <w:t>complaint.</w:t>
      </w:r>
    </w:p>
    <w:p>
      <w:pPr>
        <w:pStyle w:val="BodyText"/>
        <w:spacing w:before="9"/>
        <w:rPr>
          <w:sz w:val="22"/>
        </w:rPr>
      </w:pPr>
    </w:p>
    <w:p>
      <w:pPr>
        <w:pStyle w:val="BodyText"/>
        <w:ind w:left="863" w:right="213"/>
        <w:jc w:val="both"/>
      </w:pPr>
      <w:r>
        <w:rPr/>
        <w:t>In</w:t>
      </w:r>
      <w:r>
        <w:rPr>
          <w:spacing w:val="-9"/>
        </w:rPr>
        <w:t> </w:t>
      </w:r>
      <w:r>
        <w:rPr/>
        <w:t>consultation</w:t>
      </w:r>
      <w:r>
        <w:rPr>
          <w:spacing w:val="-9"/>
        </w:rPr>
        <w:t> </w:t>
      </w:r>
      <w:r>
        <w:rPr/>
        <w:t>with</w:t>
      </w:r>
      <w:r>
        <w:rPr>
          <w:spacing w:val="-8"/>
        </w:rPr>
        <w:t> </w:t>
      </w:r>
      <w:r>
        <w:rPr/>
        <w:t>the</w:t>
      </w:r>
      <w:r>
        <w:rPr>
          <w:spacing w:val="-9"/>
        </w:rPr>
        <w:t> </w:t>
      </w:r>
      <w:r>
        <w:rPr/>
        <w:t>student</w:t>
      </w:r>
      <w:r>
        <w:rPr>
          <w:spacing w:val="-9"/>
        </w:rPr>
        <w:t> </w:t>
      </w:r>
      <w:r>
        <w:rPr/>
        <w:t>and</w:t>
      </w:r>
      <w:r>
        <w:rPr>
          <w:spacing w:val="-9"/>
        </w:rPr>
        <w:t> </w:t>
      </w:r>
      <w:r>
        <w:rPr/>
        <w:t>appropriate</w:t>
      </w:r>
      <w:r>
        <w:rPr>
          <w:spacing w:val="-8"/>
        </w:rPr>
        <w:t> </w:t>
      </w:r>
      <w:r>
        <w:rPr/>
        <w:t>departmental</w:t>
      </w:r>
      <w:r>
        <w:rPr>
          <w:spacing w:val="-9"/>
        </w:rPr>
        <w:t> </w:t>
      </w:r>
      <w:r>
        <w:rPr/>
        <w:t>committee,</w:t>
      </w:r>
      <w:r>
        <w:rPr>
          <w:spacing w:val="-9"/>
        </w:rPr>
        <w:t> </w:t>
      </w:r>
      <w:r>
        <w:rPr/>
        <w:t>the</w:t>
      </w:r>
      <w:r>
        <w:rPr>
          <w:spacing w:val="-9"/>
        </w:rPr>
        <w:t> </w:t>
      </w:r>
      <w:r>
        <w:rPr/>
        <w:t>school</w:t>
      </w:r>
      <w:r>
        <w:rPr>
          <w:spacing w:val="-9"/>
        </w:rPr>
        <w:t> </w:t>
      </w:r>
      <w:r>
        <w:rPr/>
        <w:t>chair</w:t>
      </w:r>
      <w:r>
        <w:rPr>
          <w:spacing w:val="-9"/>
        </w:rPr>
        <w:t> </w:t>
      </w:r>
      <w:r>
        <w:rPr/>
        <w:t>will</w:t>
      </w:r>
      <w:r>
        <w:rPr>
          <w:spacing w:val="-8"/>
        </w:rPr>
        <w:t> </w:t>
      </w:r>
      <w:r>
        <w:rPr/>
        <w:t>render a decision on the appeal. The student and departmental committee will be notified in writing of the school chair’s decision and reasons supporting the</w:t>
      </w:r>
      <w:r>
        <w:rPr>
          <w:spacing w:val="-1"/>
        </w:rPr>
        <w:t> </w:t>
      </w:r>
      <w:r>
        <w:rPr/>
        <w:t>decision.</w:t>
      </w:r>
    </w:p>
    <w:p>
      <w:pPr>
        <w:pStyle w:val="BodyText"/>
        <w:spacing w:before="11"/>
        <w:rPr>
          <w:sz w:val="22"/>
        </w:rPr>
      </w:pPr>
    </w:p>
    <w:p>
      <w:pPr>
        <w:pStyle w:val="Heading3"/>
        <w:ind w:left="865"/>
        <w:rPr>
          <w:i/>
          <w:sz w:val="16"/>
        </w:rPr>
      </w:pPr>
      <w:r>
        <w:rPr>
          <w:i/>
          <w:color w:val="1F497C"/>
        </w:rPr>
        <w:t>Step 2</w:t>
      </w:r>
      <w:r>
        <w:rPr>
          <w:i/>
          <w:color w:val="1F497C"/>
          <w:position w:val="8"/>
          <w:sz w:val="16"/>
        </w:rPr>
        <w:t>1</w:t>
      </w:r>
    </w:p>
    <w:p>
      <w:pPr>
        <w:pStyle w:val="ListParagraph"/>
        <w:numPr>
          <w:ilvl w:val="0"/>
          <w:numId w:val="13"/>
        </w:numPr>
        <w:tabs>
          <w:tab w:pos="1118" w:val="left" w:leader="none"/>
        </w:tabs>
        <w:spacing w:line="240" w:lineRule="auto" w:before="0" w:after="0"/>
        <w:ind w:left="1118" w:right="0" w:hanging="253"/>
        <w:jc w:val="left"/>
        <w:rPr>
          <w:sz w:val="24"/>
        </w:rPr>
      </w:pPr>
      <w:r>
        <w:rPr>
          <w:i/>
          <w:sz w:val="24"/>
        </w:rPr>
        <w:t>Time Limitation: </w:t>
      </w:r>
      <w:r>
        <w:rPr>
          <w:sz w:val="24"/>
        </w:rPr>
        <w:t>Five (5) class days following the announcement of the decision by</w:t>
      </w:r>
      <w:r>
        <w:rPr>
          <w:spacing w:val="1"/>
          <w:sz w:val="24"/>
        </w:rPr>
        <w:t> </w:t>
      </w:r>
      <w:r>
        <w:rPr>
          <w:sz w:val="24"/>
        </w:rPr>
        <w:t>thechair.</w:t>
      </w:r>
    </w:p>
    <w:p>
      <w:pPr>
        <w:pStyle w:val="BodyText"/>
        <w:spacing w:before="33"/>
        <w:ind w:left="865" w:right="213"/>
        <w:jc w:val="both"/>
      </w:pPr>
      <w:r>
        <w:rPr/>
        <w:t>The</w:t>
      </w:r>
      <w:r>
        <w:rPr>
          <w:spacing w:val="-5"/>
        </w:rPr>
        <w:t> </w:t>
      </w:r>
      <w:r>
        <w:rPr/>
        <w:t>student</w:t>
      </w:r>
      <w:r>
        <w:rPr>
          <w:spacing w:val="-4"/>
        </w:rPr>
        <w:t> </w:t>
      </w:r>
      <w:r>
        <w:rPr/>
        <w:t>or</w:t>
      </w:r>
      <w:r>
        <w:rPr>
          <w:spacing w:val="-5"/>
        </w:rPr>
        <w:t> </w:t>
      </w:r>
      <w:r>
        <w:rPr/>
        <w:t>the</w:t>
      </w:r>
      <w:r>
        <w:rPr>
          <w:spacing w:val="-4"/>
        </w:rPr>
        <w:t> </w:t>
      </w:r>
      <w:r>
        <w:rPr/>
        <w:t>departmental</w:t>
      </w:r>
      <w:r>
        <w:rPr>
          <w:spacing w:val="-5"/>
        </w:rPr>
        <w:t> </w:t>
      </w:r>
      <w:r>
        <w:rPr/>
        <w:t>committee</w:t>
      </w:r>
      <w:r>
        <w:rPr>
          <w:spacing w:val="-4"/>
        </w:rPr>
        <w:t> </w:t>
      </w:r>
      <w:r>
        <w:rPr/>
        <w:t>may</w:t>
      </w:r>
      <w:r>
        <w:rPr>
          <w:spacing w:val="-5"/>
        </w:rPr>
        <w:t> </w:t>
      </w:r>
      <w:r>
        <w:rPr/>
        <w:t>appeal</w:t>
      </w:r>
      <w:r>
        <w:rPr>
          <w:spacing w:val="-4"/>
        </w:rPr>
        <w:t> </w:t>
      </w:r>
      <w:r>
        <w:rPr/>
        <w:t>the</w:t>
      </w:r>
      <w:r>
        <w:rPr>
          <w:spacing w:val="-5"/>
        </w:rPr>
        <w:t> </w:t>
      </w:r>
      <w:r>
        <w:rPr/>
        <w:t>decision</w:t>
      </w:r>
      <w:r>
        <w:rPr>
          <w:spacing w:val="-4"/>
        </w:rPr>
        <w:t> </w:t>
      </w:r>
      <w:r>
        <w:rPr/>
        <w:t>made</w:t>
      </w:r>
      <w:r>
        <w:rPr>
          <w:spacing w:val="-5"/>
        </w:rPr>
        <w:t> </w:t>
      </w:r>
      <w:r>
        <w:rPr/>
        <w:t>in</w:t>
      </w:r>
      <w:r>
        <w:rPr>
          <w:spacing w:val="-4"/>
        </w:rPr>
        <w:t> </w:t>
      </w:r>
      <w:r>
        <w:rPr/>
        <w:t>Step</w:t>
      </w:r>
      <w:r>
        <w:rPr>
          <w:spacing w:val="-4"/>
        </w:rPr>
        <w:t> </w:t>
      </w:r>
      <w:r>
        <w:rPr/>
        <w:t>1</w:t>
      </w:r>
      <w:r>
        <w:rPr>
          <w:spacing w:val="-5"/>
        </w:rPr>
        <w:t> </w:t>
      </w:r>
      <w:r>
        <w:rPr/>
        <w:t>by</w:t>
      </w:r>
      <w:r>
        <w:rPr>
          <w:spacing w:val="-4"/>
        </w:rPr>
        <w:t> </w:t>
      </w:r>
      <w:r>
        <w:rPr/>
        <w:t>filing,</w:t>
      </w:r>
      <w:r>
        <w:rPr>
          <w:spacing w:val="-5"/>
        </w:rPr>
        <w:t> </w:t>
      </w:r>
      <w:r>
        <w:rPr/>
        <w:t>with</w:t>
      </w:r>
      <w:r>
        <w:rPr>
          <w:spacing w:val="-4"/>
        </w:rPr>
        <w:t> </w:t>
      </w:r>
      <w:r>
        <w:rPr/>
        <w:t>the director</w:t>
      </w:r>
      <w:r>
        <w:rPr>
          <w:spacing w:val="-3"/>
        </w:rPr>
        <w:t> </w:t>
      </w:r>
      <w:r>
        <w:rPr/>
        <w:t>of</w:t>
      </w:r>
      <w:r>
        <w:rPr>
          <w:spacing w:val="-3"/>
        </w:rPr>
        <w:t> </w:t>
      </w:r>
      <w:r>
        <w:rPr/>
        <w:t>graduate</w:t>
      </w:r>
      <w:r>
        <w:rPr>
          <w:spacing w:val="-2"/>
        </w:rPr>
        <w:t> </w:t>
      </w:r>
      <w:r>
        <w:rPr/>
        <w:t>studies</w:t>
      </w:r>
      <w:r>
        <w:rPr>
          <w:spacing w:val="-3"/>
        </w:rPr>
        <w:t> </w:t>
      </w:r>
      <w:r>
        <w:rPr/>
        <w:t>in</w:t>
      </w:r>
      <w:r>
        <w:rPr>
          <w:spacing w:val="-2"/>
        </w:rPr>
        <w:t> </w:t>
      </w:r>
      <w:r>
        <w:rPr/>
        <w:t>the</w:t>
      </w:r>
      <w:r>
        <w:rPr>
          <w:spacing w:val="-3"/>
        </w:rPr>
        <w:t> </w:t>
      </w:r>
      <w:r>
        <w:rPr/>
        <w:t>student’s</w:t>
      </w:r>
      <w:r>
        <w:rPr>
          <w:spacing w:val="-2"/>
        </w:rPr>
        <w:t> </w:t>
      </w:r>
      <w:r>
        <w:rPr/>
        <w:t>college,</w:t>
      </w:r>
      <w:r>
        <w:rPr>
          <w:spacing w:val="-3"/>
        </w:rPr>
        <w:t> </w:t>
      </w:r>
      <w:r>
        <w:rPr/>
        <w:t>a</w:t>
      </w:r>
      <w:r>
        <w:rPr>
          <w:spacing w:val="-2"/>
        </w:rPr>
        <w:t> </w:t>
      </w:r>
      <w:r>
        <w:rPr/>
        <w:t>written</w:t>
      </w:r>
      <w:r>
        <w:rPr>
          <w:spacing w:val="-3"/>
        </w:rPr>
        <w:t> </w:t>
      </w:r>
      <w:r>
        <w:rPr/>
        <w:t>request</w:t>
      </w:r>
      <w:r>
        <w:rPr>
          <w:spacing w:val="-3"/>
        </w:rPr>
        <w:t> </w:t>
      </w:r>
      <w:r>
        <w:rPr/>
        <w:t>for</w:t>
      </w:r>
      <w:r>
        <w:rPr>
          <w:spacing w:val="-2"/>
        </w:rPr>
        <w:t> </w:t>
      </w:r>
      <w:r>
        <w:rPr/>
        <w:t>a</w:t>
      </w:r>
      <w:r>
        <w:rPr>
          <w:spacing w:val="-3"/>
        </w:rPr>
        <w:t> </w:t>
      </w:r>
      <w:r>
        <w:rPr/>
        <w:t>hearing</w:t>
      </w:r>
      <w:r>
        <w:rPr>
          <w:spacing w:val="-2"/>
        </w:rPr>
        <w:t> </w:t>
      </w:r>
      <w:r>
        <w:rPr/>
        <w:t>before</w:t>
      </w:r>
      <w:r>
        <w:rPr>
          <w:spacing w:val="-3"/>
        </w:rPr>
        <w:t> </w:t>
      </w:r>
      <w:r>
        <w:rPr/>
        <w:t>the</w:t>
      </w:r>
      <w:r>
        <w:rPr>
          <w:spacing w:val="-2"/>
        </w:rPr>
        <w:t> </w:t>
      </w:r>
      <w:r>
        <w:rPr/>
        <w:t>college council for graduate studies. The request should state the factual basis for the appeal of the chair’s decision and include a copy of the chair’s</w:t>
      </w:r>
      <w:r>
        <w:rPr>
          <w:spacing w:val="-1"/>
        </w:rPr>
        <w:t> </w:t>
      </w:r>
      <w:r>
        <w:rPr/>
        <w:t>decision.</w:t>
      </w:r>
    </w:p>
    <w:p>
      <w:pPr>
        <w:pStyle w:val="BodyText"/>
        <w:spacing w:before="9"/>
        <w:rPr>
          <w:sz w:val="22"/>
        </w:rPr>
      </w:pPr>
    </w:p>
    <w:p>
      <w:pPr>
        <w:pStyle w:val="ListParagraph"/>
        <w:numPr>
          <w:ilvl w:val="0"/>
          <w:numId w:val="13"/>
        </w:numPr>
        <w:tabs>
          <w:tab w:pos="1109" w:val="left" w:leader="none"/>
        </w:tabs>
        <w:spacing w:line="240" w:lineRule="auto" w:before="0" w:after="0"/>
        <w:ind w:left="1109" w:right="0" w:hanging="244"/>
        <w:jc w:val="left"/>
        <w:rPr>
          <w:sz w:val="24"/>
        </w:rPr>
      </w:pPr>
      <w:r>
        <w:rPr>
          <w:i/>
          <w:sz w:val="24"/>
        </w:rPr>
        <w:t>Time Limitation: </w:t>
      </w:r>
      <w:r>
        <w:rPr>
          <w:sz w:val="24"/>
        </w:rPr>
        <w:t>Fifteen (15) class days following the receipt of the</w:t>
      </w:r>
      <w:r>
        <w:rPr>
          <w:spacing w:val="3"/>
          <w:sz w:val="24"/>
        </w:rPr>
        <w:t> </w:t>
      </w:r>
      <w:r>
        <w:rPr>
          <w:sz w:val="24"/>
        </w:rPr>
        <w:t>writtenrequest.</w:t>
      </w:r>
    </w:p>
    <w:p>
      <w:pPr>
        <w:pStyle w:val="BodyText"/>
        <w:spacing w:before="2"/>
        <w:rPr>
          <w:sz w:val="23"/>
        </w:rPr>
      </w:pPr>
    </w:p>
    <w:p>
      <w:pPr>
        <w:pStyle w:val="BodyText"/>
        <w:ind w:left="863" w:right="212"/>
        <w:jc w:val="both"/>
      </w:pPr>
      <w:r>
        <w:rPr/>
        <w:t>The college council for graduate studies will notify the student, departmental committee, and chair of the date, time, and location of the retention appeals hearing. If the college council agrees that the student should be reinstated, the council shall be empowered to reinstate the student. The student, departmental committee, and chair will be notified in writing of the college council’s decision and reasons supporting the decision.</w:t>
      </w:r>
    </w:p>
    <w:p>
      <w:pPr>
        <w:pStyle w:val="BodyText"/>
        <w:spacing w:before="9"/>
        <w:rPr>
          <w:sz w:val="22"/>
        </w:rPr>
      </w:pPr>
    </w:p>
    <w:p>
      <w:pPr>
        <w:pStyle w:val="Heading3"/>
        <w:ind w:left="865"/>
        <w:rPr>
          <w:i/>
        </w:rPr>
      </w:pPr>
      <w:r>
        <w:rPr>
          <w:i/>
          <w:color w:val="1F497C"/>
        </w:rPr>
        <w:t>Step 3</w:t>
      </w:r>
    </w:p>
    <w:p>
      <w:pPr>
        <w:pStyle w:val="ListParagraph"/>
        <w:numPr>
          <w:ilvl w:val="0"/>
          <w:numId w:val="14"/>
        </w:numPr>
        <w:tabs>
          <w:tab w:pos="1118" w:val="left" w:leader="none"/>
        </w:tabs>
        <w:spacing w:line="240" w:lineRule="auto" w:before="0" w:after="0"/>
        <w:ind w:left="1118" w:right="0" w:hanging="253"/>
        <w:jc w:val="left"/>
        <w:rPr>
          <w:sz w:val="24"/>
        </w:rPr>
      </w:pPr>
      <w:r>
        <w:rPr>
          <w:i/>
          <w:sz w:val="24"/>
        </w:rPr>
        <w:t>Time</w:t>
      </w:r>
      <w:r>
        <w:rPr>
          <w:i/>
          <w:spacing w:val="-4"/>
          <w:sz w:val="24"/>
        </w:rPr>
        <w:t> </w:t>
      </w:r>
      <w:r>
        <w:rPr>
          <w:i/>
          <w:sz w:val="24"/>
        </w:rPr>
        <w:t>Limitation:</w:t>
      </w:r>
      <w:r>
        <w:rPr>
          <w:i/>
          <w:spacing w:val="-4"/>
          <w:sz w:val="24"/>
        </w:rPr>
        <w:t> </w:t>
      </w:r>
      <w:r>
        <w:rPr>
          <w:sz w:val="24"/>
        </w:rPr>
        <w:t>Five</w:t>
      </w:r>
      <w:r>
        <w:rPr>
          <w:spacing w:val="-5"/>
          <w:sz w:val="24"/>
        </w:rPr>
        <w:t> </w:t>
      </w:r>
      <w:r>
        <w:rPr>
          <w:sz w:val="24"/>
        </w:rPr>
        <w:t>(5)</w:t>
      </w:r>
      <w:r>
        <w:rPr>
          <w:spacing w:val="-3"/>
          <w:sz w:val="24"/>
        </w:rPr>
        <w:t> </w:t>
      </w:r>
      <w:r>
        <w:rPr>
          <w:sz w:val="24"/>
        </w:rPr>
        <w:t>class</w:t>
      </w:r>
      <w:r>
        <w:rPr>
          <w:spacing w:val="-6"/>
          <w:sz w:val="24"/>
        </w:rPr>
        <w:t> </w:t>
      </w:r>
      <w:r>
        <w:rPr>
          <w:sz w:val="24"/>
        </w:rPr>
        <w:t>days</w:t>
      </w:r>
      <w:r>
        <w:rPr>
          <w:spacing w:val="-4"/>
          <w:sz w:val="24"/>
        </w:rPr>
        <w:t> </w:t>
      </w:r>
      <w:r>
        <w:rPr>
          <w:sz w:val="24"/>
        </w:rPr>
        <w:t>after</w:t>
      </w:r>
      <w:r>
        <w:rPr>
          <w:spacing w:val="-4"/>
          <w:sz w:val="24"/>
        </w:rPr>
        <w:t> </w:t>
      </w:r>
      <w:r>
        <w:rPr>
          <w:sz w:val="24"/>
        </w:rPr>
        <w:t>the</w:t>
      </w:r>
      <w:r>
        <w:rPr>
          <w:spacing w:val="-4"/>
          <w:sz w:val="24"/>
        </w:rPr>
        <w:t> </w:t>
      </w:r>
      <w:r>
        <w:rPr>
          <w:sz w:val="24"/>
        </w:rPr>
        <w:t>announcement</w:t>
      </w:r>
      <w:r>
        <w:rPr>
          <w:spacing w:val="-6"/>
          <w:sz w:val="24"/>
        </w:rPr>
        <w:t> </w:t>
      </w:r>
      <w:r>
        <w:rPr>
          <w:sz w:val="24"/>
        </w:rPr>
        <w:t>of</w:t>
      </w:r>
      <w:r>
        <w:rPr>
          <w:spacing w:val="-4"/>
          <w:sz w:val="24"/>
        </w:rPr>
        <w:t> </w:t>
      </w:r>
      <w:r>
        <w:rPr>
          <w:sz w:val="24"/>
        </w:rPr>
        <w:t>the</w:t>
      </w:r>
      <w:r>
        <w:rPr>
          <w:spacing w:val="-5"/>
          <w:sz w:val="24"/>
        </w:rPr>
        <w:t> </w:t>
      </w:r>
      <w:r>
        <w:rPr>
          <w:sz w:val="24"/>
        </w:rPr>
        <w:t>decision</w:t>
      </w:r>
      <w:r>
        <w:rPr>
          <w:spacing w:val="-3"/>
          <w:sz w:val="24"/>
        </w:rPr>
        <w:t> </w:t>
      </w:r>
      <w:r>
        <w:rPr>
          <w:sz w:val="24"/>
        </w:rPr>
        <w:t>by</w:t>
      </w:r>
      <w:r>
        <w:rPr>
          <w:spacing w:val="-3"/>
          <w:sz w:val="24"/>
        </w:rPr>
        <w:t> </w:t>
      </w:r>
      <w:r>
        <w:rPr>
          <w:sz w:val="24"/>
        </w:rPr>
        <w:t>the</w:t>
      </w:r>
      <w:r>
        <w:rPr>
          <w:spacing w:val="-5"/>
          <w:sz w:val="24"/>
        </w:rPr>
        <w:t> </w:t>
      </w:r>
      <w:r>
        <w:rPr>
          <w:sz w:val="24"/>
        </w:rPr>
        <w:t>college</w:t>
      </w:r>
      <w:r>
        <w:rPr>
          <w:spacing w:val="-4"/>
          <w:sz w:val="24"/>
        </w:rPr>
        <w:t> </w:t>
      </w:r>
      <w:r>
        <w:rPr>
          <w:sz w:val="24"/>
        </w:rPr>
        <w:t>council.</w:t>
      </w:r>
    </w:p>
    <w:p>
      <w:pPr>
        <w:pStyle w:val="BodyText"/>
        <w:spacing w:before="10"/>
        <w:rPr>
          <w:sz w:val="22"/>
        </w:rPr>
      </w:pPr>
    </w:p>
    <w:p>
      <w:pPr>
        <w:pStyle w:val="BodyText"/>
        <w:ind w:left="863" w:right="213"/>
        <w:jc w:val="both"/>
      </w:pPr>
      <w:r>
        <w:rPr/>
        <w:t>If the complaint cannot be resolved at the level of Step 2, the student or the departmental committee may request in writing that the director of graduate studies in the student's college forward the complaint to the dean of the appropriate college with a copy of the college council's</w:t>
      </w:r>
      <w:r>
        <w:rPr>
          <w:spacing w:val="-6"/>
        </w:rPr>
        <w:t> </w:t>
      </w:r>
      <w:r>
        <w:rPr/>
        <w:t>decision.</w:t>
      </w:r>
    </w:p>
    <w:p>
      <w:pPr>
        <w:pStyle w:val="BodyText"/>
        <w:spacing w:before="9"/>
        <w:rPr>
          <w:sz w:val="22"/>
        </w:rPr>
      </w:pPr>
    </w:p>
    <w:p>
      <w:pPr>
        <w:pStyle w:val="ListParagraph"/>
        <w:numPr>
          <w:ilvl w:val="0"/>
          <w:numId w:val="14"/>
        </w:numPr>
        <w:tabs>
          <w:tab w:pos="1109" w:val="left" w:leader="none"/>
        </w:tabs>
        <w:spacing w:line="240" w:lineRule="auto" w:before="0" w:after="0"/>
        <w:ind w:left="1109" w:right="0" w:hanging="244"/>
        <w:jc w:val="both"/>
        <w:rPr>
          <w:sz w:val="24"/>
        </w:rPr>
      </w:pPr>
      <w:r>
        <w:rPr>
          <w:i/>
          <w:sz w:val="24"/>
        </w:rPr>
        <w:t>Time Limitation: </w:t>
      </w:r>
      <w:r>
        <w:rPr>
          <w:sz w:val="24"/>
        </w:rPr>
        <w:t>Fifteen (15) class days following the written request for</w:t>
      </w:r>
      <w:r>
        <w:rPr>
          <w:spacing w:val="-30"/>
          <w:sz w:val="24"/>
        </w:rPr>
        <w:t> </w:t>
      </w:r>
      <w:r>
        <w:rPr>
          <w:sz w:val="24"/>
        </w:rPr>
        <w:t>appeal.</w:t>
      </w:r>
    </w:p>
    <w:p>
      <w:pPr>
        <w:spacing w:after="0" w:line="240" w:lineRule="auto"/>
        <w:jc w:val="both"/>
        <w:rPr>
          <w:sz w:val="24"/>
        </w:rPr>
        <w:sectPr>
          <w:pgSz w:w="12240" w:h="15840"/>
          <w:pgMar w:header="0" w:footer="992" w:top="1380" w:bottom="1180" w:left="300" w:right="920"/>
        </w:sectPr>
      </w:pPr>
    </w:p>
    <w:p>
      <w:pPr>
        <w:pStyle w:val="BodyText"/>
        <w:spacing w:before="73"/>
        <w:ind w:left="863" w:right="213"/>
        <w:jc w:val="both"/>
      </w:pPr>
      <w:r>
        <w:rPr/>
        <w:t>The college dean may utilize any resources available to resolve the conflict. The chair, the director of graduate</w:t>
      </w:r>
      <w:r>
        <w:rPr>
          <w:spacing w:val="-11"/>
        </w:rPr>
        <w:t> </w:t>
      </w:r>
      <w:r>
        <w:rPr/>
        <w:t>studies</w:t>
      </w:r>
      <w:r>
        <w:rPr>
          <w:spacing w:val="-11"/>
        </w:rPr>
        <w:t> </w:t>
      </w:r>
      <w:r>
        <w:rPr/>
        <w:t>in</w:t>
      </w:r>
      <w:r>
        <w:rPr>
          <w:spacing w:val="-10"/>
        </w:rPr>
        <w:t> </w:t>
      </w:r>
      <w:r>
        <w:rPr/>
        <w:t>the</w:t>
      </w:r>
      <w:r>
        <w:rPr>
          <w:spacing w:val="-11"/>
        </w:rPr>
        <w:t> </w:t>
      </w:r>
      <w:r>
        <w:rPr/>
        <w:t>student's</w:t>
      </w:r>
      <w:r>
        <w:rPr>
          <w:spacing w:val="-10"/>
        </w:rPr>
        <w:t> </w:t>
      </w:r>
      <w:r>
        <w:rPr/>
        <w:t>college,</w:t>
      </w:r>
      <w:r>
        <w:rPr>
          <w:spacing w:val="-11"/>
        </w:rPr>
        <w:t> </w:t>
      </w:r>
      <w:r>
        <w:rPr/>
        <w:t>the</w:t>
      </w:r>
      <w:r>
        <w:rPr>
          <w:spacing w:val="-10"/>
        </w:rPr>
        <w:t> </w:t>
      </w:r>
      <w:r>
        <w:rPr/>
        <w:t>departmental</w:t>
      </w:r>
      <w:r>
        <w:rPr>
          <w:spacing w:val="-11"/>
        </w:rPr>
        <w:t> </w:t>
      </w:r>
      <w:r>
        <w:rPr/>
        <w:t>committee,</w:t>
      </w:r>
      <w:r>
        <w:rPr>
          <w:spacing w:val="-10"/>
        </w:rPr>
        <w:t> </w:t>
      </w:r>
      <w:r>
        <w:rPr/>
        <w:t>and</w:t>
      </w:r>
      <w:r>
        <w:rPr>
          <w:spacing w:val="-11"/>
        </w:rPr>
        <w:t> </w:t>
      </w:r>
      <w:r>
        <w:rPr/>
        <w:t>the</w:t>
      </w:r>
      <w:r>
        <w:rPr>
          <w:spacing w:val="-11"/>
        </w:rPr>
        <w:t> </w:t>
      </w:r>
      <w:r>
        <w:rPr/>
        <w:t>student</w:t>
      </w:r>
      <w:r>
        <w:rPr>
          <w:spacing w:val="-10"/>
        </w:rPr>
        <w:t> </w:t>
      </w:r>
      <w:r>
        <w:rPr/>
        <w:t>will</w:t>
      </w:r>
      <w:r>
        <w:rPr>
          <w:spacing w:val="-11"/>
        </w:rPr>
        <w:t> </w:t>
      </w:r>
      <w:r>
        <w:rPr/>
        <w:t>be</w:t>
      </w:r>
      <w:r>
        <w:rPr>
          <w:spacing w:val="-10"/>
        </w:rPr>
        <w:t> </w:t>
      </w:r>
      <w:r>
        <w:rPr/>
        <w:t>notified in writing of the dean's</w:t>
      </w:r>
      <w:r>
        <w:rPr>
          <w:spacing w:val="-1"/>
        </w:rPr>
        <w:t> </w:t>
      </w:r>
      <w:r>
        <w:rPr/>
        <w:t>decision.</w:t>
      </w:r>
    </w:p>
    <w:p>
      <w:pPr>
        <w:pStyle w:val="BodyText"/>
        <w:rPr>
          <w:sz w:val="20"/>
        </w:rPr>
      </w:pPr>
    </w:p>
    <w:p>
      <w:pPr>
        <w:pStyle w:val="BodyText"/>
        <w:spacing w:before="2"/>
        <w:rPr>
          <w:sz w:val="14"/>
        </w:rPr>
      </w:pPr>
      <w:r>
        <w:rPr/>
        <w:pict>
          <v:line style="position:absolute;mso-position-horizontal-relative:page;mso-position-vertical-relative:paragraph;z-index:-1024;mso-wrap-distance-left:0;mso-wrap-distance-right:0" from="59.09008pt,10.940056pt" to="203.090082pt,10.940135pt" stroked="true" strokeweight=".6pt" strokecolor="#000000">
            <v:stroke dashstyle="solid"/>
            <w10:wrap type="topAndBottom"/>
          </v:line>
        </w:pict>
      </w:r>
    </w:p>
    <w:p>
      <w:pPr>
        <w:pStyle w:val="BodyText"/>
        <w:spacing w:before="33"/>
        <w:ind w:left="865" w:right="235"/>
      </w:pPr>
      <w:r>
        <w:rPr>
          <w:rFonts w:ascii="Times New Roman"/>
          <w:position w:val="9"/>
          <w:sz w:val="16"/>
        </w:rPr>
        <w:t>1 </w:t>
      </w:r>
      <w:r>
        <w:rPr/>
        <w:t>In the case of programs that are not represented on a college council, Step 2 will be omitted and the appeal will be forwarded to the dean of the school involved.</w:t>
      </w:r>
    </w:p>
    <w:p>
      <w:pPr>
        <w:pStyle w:val="BodyText"/>
        <w:spacing w:before="12"/>
        <w:rPr>
          <w:sz w:val="23"/>
        </w:rPr>
      </w:pPr>
    </w:p>
    <w:p>
      <w:pPr>
        <w:pStyle w:val="Heading3"/>
        <w:rPr>
          <w:i/>
        </w:rPr>
      </w:pPr>
      <w:r>
        <w:rPr>
          <w:i/>
          <w:color w:val="1F497C"/>
        </w:rPr>
        <w:t>Step 4</w:t>
      </w:r>
    </w:p>
    <w:p>
      <w:pPr>
        <w:pStyle w:val="ListParagraph"/>
        <w:numPr>
          <w:ilvl w:val="0"/>
          <w:numId w:val="15"/>
        </w:numPr>
        <w:tabs>
          <w:tab w:pos="1118" w:val="left" w:leader="none"/>
        </w:tabs>
        <w:spacing w:line="240" w:lineRule="auto" w:before="0" w:after="0"/>
        <w:ind w:left="1118" w:right="0" w:hanging="253"/>
        <w:jc w:val="left"/>
        <w:rPr>
          <w:sz w:val="24"/>
        </w:rPr>
      </w:pPr>
      <w:r>
        <w:rPr>
          <w:i/>
          <w:sz w:val="24"/>
        </w:rPr>
        <w:t>Time</w:t>
      </w:r>
      <w:r>
        <w:rPr>
          <w:i/>
          <w:spacing w:val="-4"/>
          <w:sz w:val="24"/>
        </w:rPr>
        <w:t> </w:t>
      </w:r>
      <w:r>
        <w:rPr>
          <w:i/>
          <w:sz w:val="24"/>
        </w:rPr>
        <w:t>Limitation:</w:t>
      </w:r>
      <w:r>
        <w:rPr>
          <w:i/>
          <w:spacing w:val="-4"/>
          <w:sz w:val="24"/>
        </w:rPr>
        <w:t> </w:t>
      </w:r>
      <w:r>
        <w:rPr>
          <w:sz w:val="24"/>
        </w:rPr>
        <w:t>Five</w:t>
      </w:r>
      <w:r>
        <w:rPr>
          <w:spacing w:val="-5"/>
          <w:sz w:val="24"/>
        </w:rPr>
        <w:t> </w:t>
      </w:r>
      <w:r>
        <w:rPr>
          <w:sz w:val="24"/>
        </w:rPr>
        <w:t>(5)</w:t>
      </w:r>
      <w:r>
        <w:rPr>
          <w:spacing w:val="-3"/>
          <w:sz w:val="24"/>
        </w:rPr>
        <w:t> </w:t>
      </w:r>
      <w:r>
        <w:rPr>
          <w:sz w:val="24"/>
        </w:rPr>
        <w:t>class</w:t>
      </w:r>
      <w:r>
        <w:rPr>
          <w:spacing w:val="-6"/>
          <w:sz w:val="24"/>
        </w:rPr>
        <w:t> </w:t>
      </w:r>
      <w:r>
        <w:rPr>
          <w:sz w:val="24"/>
        </w:rPr>
        <w:t>days</w:t>
      </w:r>
      <w:r>
        <w:rPr>
          <w:spacing w:val="-4"/>
          <w:sz w:val="24"/>
        </w:rPr>
        <w:t> </w:t>
      </w:r>
      <w:r>
        <w:rPr>
          <w:sz w:val="24"/>
        </w:rPr>
        <w:t>following</w:t>
      </w:r>
      <w:r>
        <w:rPr>
          <w:spacing w:val="-5"/>
          <w:sz w:val="24"/>
        </w:rPr>
        <w:t> </w:t>
      </w:r>
      <w:r>
        <w:rPr>
          <w:sz w:val="24"/>
        </w:rPr>
        <w:t>the</w:t>
      </w:r>
      <w:r>
        <w:rPr>
          <w:spacing w:val="-5"/>
          <w:sz w:val="24"/>
        </w:rPr>
        <w:t> </w:t>
      </w:r>
      <w:r>
        <w:rPr>
          <w:sz w:val="24"/>
        </w:rPr>
        <w:t>announcement</w:t>
      </w:r>
      <w:r>
        <w:rPr>
          <w:spacing w:val="-5"/>
          <w:sz w:val="24"/>
        </w:rPr>
        <w:t> </w:t>
      </w:r>
      <w:r>
        <w:rPr>
          <w:sz w:val="24"/>
        </w:rPr>
        <w:t>of</w:t>
      </w:r>
      <w:r>
        <w:rPr>
          <w:spacing w:val="-5"/>
          <w:sz w:val="24"/>
        </w:rPr>
        <w:t> </w:t>
      </w:r>
      <w:r>
        <w:rPr>
          <w:sz w:val="24"/>
        </w:rPr>
        <w:t>a</w:t>
      </w:r>
      <w:r>
        <w:rPr>
          <w:spacing w:val="-3"/>
          <w:sz w:val="24"/>
        </w:rPr>
        <w:t> </w:t>
      </w:r>
      <w:r>
        <w:rPr>
          <w:sz w:val="24"/>
        </w:rPr>
        <w:t>decision</w:t>
      </w:r>
      <w:r>
        <w:rPr>
          <w:spacing w:val="-4"/>
          <w:sz w:val="24"/>
        </w:rPr>
        <w:t> </w:t>
      </w:r>
      <w:r>
        <w:rPr>
          <w:sz w:val="24"/>
        </w:rPr>
        <w:t>by</w:t>
      </w:r>
      <w:r>
        <w:rPr>
          <w:spacing w:val="-3"/>
          <w:sz w:val="24"/>
        </w:rPr>
        <w:t> </w:t>
      </w:r>
      <w:r>
        <w:rPr>
          <w:sz w:val="24"/>
        </w:rPr>
        <w:t>the</w:t>
      </w:r>
      <w:r>
        <w:rPr>
          <w:spacing w:val="-4"/>
          <w:sz w:val="24"/>
        </w:rPr>
        <w:t> </w:t>
      </w:r>
      <w:r>
        <w:rPr>
          <w:sz w:val="24"/>
        </w:rPr>
        <w:t>college</w:t>
      </w:r>
      <w:r>
        <w:rPr>
          <w:spacing w:val="-5"/>
          <w:sz w:val="24"/>
        </w:rPr>
        <w:t> </w:t>
      </w:r>
      <w:r>
        <w:rPr>
          <w:sz w:val="24"/>
        </w:rPr>
        <w:t>dean.</w:t>
      </w:r>
    </w:p>
    <w:p>
      <w:pPr>
        <w:pStyle w:val="BodyText"/>
        <w:spacing w:before="2"/>
        <w:rPr>
          <w:sz w:val="23"/>
        </w:rPr>
      </w:pPr>
    </w:p>
    <w:p>
      <w:pPr>
        <w:pStyle w:val="BodyText"/>
        <w:ind w:left="863" w:right="213"/>
        <w:jc w:val="both"/>
      </w:pPr>
      <w:r>
        <w:rPr/>
        <w:t>If the complaint cannot be resolved at the level of Step 3, the student or the departmental committee may appeal the decision by filing, with the Vice Provost for Graduate Studies, a request for a hearing before the University Council for Graduate Studies. The written request for a hearing must state the factual basis for the appeal and include a copy of the dean’s decision.</w:t>
      </w:r>
    </w:p>
    <w:p>
      <w:pPr>
        <w:pStyle w:val="BodyText"/>
        <w:spacing w:before="9"/>
        <w:rPr>
          <w:sz w:val="22"/>
        </w:rPr>
      </w:pPr>
    </w:p>
    <w:p>
      <w:pPr>
        <w:pStyle w:val="BodyText"/>
        <w:ind w:left="865"/>
      </w:pPr>
      <w:r>
        <w:rPr/>
        <w:t>If the University Council for Graduate Studies finds that the appeal does not merit a hearing, all concerned parties shall be notified by the Vice Provost for Graduate Studies.</w:t>
      </w:r>
    </w:p>
    <w:p>
      <w:pPr>
        <w:pStyle w:val="BodyText"/>
        <w:spacing w:before="9"/>
        <w:rPr>
          <w:sz w:val="22"/>
        </w:rPr>
      </w:pPr>
    </w:p>
    <w:p>
      <w:pPr>
        <w:pStyle w:val="ListParagraph"/>
        <w:numPr>
          <w:ilvl w:val="0"/>
          <w:numId w:val="15"/>
        </w:numPr>
        <w:tabs>
          <w:tab w:pos="1109" w:val="left" w:leader="none"/>
        </w:tabs>
        <w:spacing w:line="240" w:lineRule="auto" w:before="1" w:after="0"/>
        <w:ind w:left="1109" w:right="0" w:hanging="244"/>
        <w:jc w:val="left"/>
        <w:rPr>
          <w:sz w:val="24"/>
        </w:rPr>
      </w:pPr>
      <w:r>
        <w:rPr>
          <w:i/>
          <w:sz w:val="24"/>
        </w:rPr>
        <w:t>Time Limitation: </w:t>
      </w:r>
      <w:r>
        <w:rPr>
          <w:sz w:val="24"/>
        </w:rPr>
        <w:t>Fifteen (15) class days following the receipt of the written</w:t>
      </w:r>
      <w:r>
        <w:rPr>
          <w:spacing w:val="-30"/>
          <w:sz w:val="24"/>
        </w:rPr>
        <w:t> </w:t>
      </w:r>
      <w:r>
        <w:rPr>
          <w:sz w:val="24"/>
        </w:rPr>
        <w:t>appeal.</w:t>
      </w:r>
    </w:p>
    <w:p>
      <w:pPr>
        <w:pStyle w:val="BodyText"/>
        <w:spacing w:before="9"/>
        <w:rPr>
          <w:sz w:val="22"/>
        </w:rPr>
      </w:pPr>
    </w:p>
    <w:p>
      <w:pPr>
        <w:pStyle w:val="BodyText"/>
        <w:spacing w:line="244" w:lineRule="auto"/>
        <w:ind w:left="865" w:right="214"/>
      </w:pPr>
      <w:r>
        <w:rPr/>
        <w:t>If the University Council for Graduate Studies finds that the appeal merits a hearing, it will notify the college dean, the director of graduate studies in the student's college, the department chair, the departmental committee, and the student of the date, time, and location of the retention appeals hearing. Any available resources may be used by the University Council to resolve the conflict. If the University Council agrees that the student should be reinstated, it shall be empowered to reinstate the student. The Vice Provost for Graduate Studies will notify in writing all concerned parties and the student of the decision and reasons supporting the decision.</w:t>
      </w:r>
    </w:p>
    <w:p>
      <w:pPr>
        <w:pStyle w:val="BodyText"/>
        <w:spacing w:before="6"/>
        <w:rPr>
          <w:sz w:val="22"/>
        </w:rPr>
      </w:pPr>
    </w:p>
    <w:p>
      <w:pPr>
        <w:pStyle w:val="BodyText"/>
        <w:ind w:left="865"/>
      </w:pPr>
      <w:r>
        <w:rPr/>
        <w:t>The decision of the University Council for Graduate Studies shall be final.</w:t>
      </w:r>
    </w:p>
    <w:p>
      <w:pPr>
        <w:pStyle w:val="BodyText"/>
        <w:rPr>
          <w:sz w:val="28"/>
        </w:rPr>
      </w:pPr>
    </w:p>
    <w:p>
      <w:pPr>
        <w:pStyle w:val="Heading2"/>
        <w:spacing w:before="177"/>
        <w:ind w:left="863"/>
      </w:pPr>
      <w:r>
        <w:rPr>
          <w:color w:val="1F497C"/>
        </w:rPr>
        <w:t>WITHDRAWAL FROM THE GRADUATE SCHOOL</w:t>
      </w:r>
    </w:p>
    <w:p>
      <w:pPr>
        <w:pStyle w:val="BodyText"/>
        <w:spacing w:before="9"/>
        <w:rPr>
          <w:b/>
          <w:sz w:val="22"/>
        </w:rPr>
      </w:pPr>
    </w:p>
    <w:p>
      <w:pPr>
        <w:pStyle w:val="BodyText"/>
        <w:ind w:left="863" w:right="211"/>
        <w:jc w:val="both"/>
      </w:pPr>
      <w:r>
        <w:rPr/>
        <w:t>A graduate student may withdraw from the University after the specified drop date only when circumstances beyond the student’s control make it impossible to complete the semester. Late withdrawals must be approved by the Director of Graduate Studies in the student's college and submitted to the Graduate School.</w:t>
      </w:r>
    </w:p>
    <w:p>
      <w:pPr>
        <w:pStyle w:val="BodyText"/>
        <w:spacing w:before="2"/>
        <w:rPr>
          <w:sz w:val="23"/>
        </w:rPr>
      </w:pPr>
    </w:p>
    <w:p>
      <w:pPr>
        <w:pStyle w:val="BodyText"/>
        <w:ind w:left="865" w:right="212"/>
        <w:jc w:val="both"/>
      </w:pPr>
      <w:r>
        <w:rPr/>
        <w:t>Students enrolled on a non-degree basis must obtain the approval of the Vice Provost for Graduate Programs or approved designee. VA benefits and Title IV funds for enrollment fees are subject to cancellation and immediate repayment if the recipient stops attending, whether or not he/she has withdrawn.</w:t>
      </w:r>
    </w:p>
    <w:p>
      <w:pPr>
        <w:spacing w:after="0"/>
        <w:jc w:val="both"/>
        <w:sectPr>
          <w:pgSz w:w="12240" w:h="15840"/>
          <w:pgMar w:header="0" w:footer="992" w:top="1380" w:bottom="1180" w:left="300" w:right="920"/>
        </w:sectPr>
      </w:pPr>
    </w:p>
    <w:p>
      <w:pPr>
        <w:pStyle w:val="Heading2"/>
        <w:spacing w:before="73"/>
      </w:pPr>
      <w:r>
        <w:rPr>
          <w:color w:val="1F497C"/>
        </w:rPr>
        <w:t>TIME LIMIT FOR COMPLETION OF DEGREE</w:t>
      </w:r>
    </w:p>
    <w:p>
      <w:pPr>
        <w:pStyle w:val="BodyText"/>
        <w:spacing w:before="240"/>
        <w:ind w:left="863" w:right="213"/>
        <w:jc w:val="both"/>
      </w:pPr>
      <w:r>
        <w:rPr/>
        <w:t>All degree requirements for the Master of Social Work must be completed within 8 years of initial enrollment. Students seeking an extension of the time limit should petition in writing to the Director of</w:t>
      </w:r>
      <w:r>
        <w:rPr>
          <w:spacing w:val="-7"/>
        </w:rPr>
        <w:t> </w:t>
      </w:r>
      <w:r>
        <w:rPr/>
        <w:t>the</w:t>
      </w:r>
      <w:r>
        <w:rPr>
          <w:spacing w:val="-6"/>
        </w:rPr>
        <w:t> </w:t>
      </w:r>
      <w:r>
        <w:rPr/>
        <w:t>MSW</w:t>
      </w:r>
      <w:r>
        <w:rPr>
          <w:spacing w:val="-7"/>
        </w:rPr>
        <w:t> </w:t>
      </w:r>
      <w:r>
        <w:rPr/>
        <w:t>program</w:t>
      </w:r>
      <w:r>
        <w:rPr>
          <w:spacing w:val="-6"/>
        </w:rPr>
        <w:t> </w:t>
      </w:r>
      <w:r>
        <w:rPr/>
        <w:t>and</w:t>
      </w:r>
      <w:r>
        <w:rPr>
          <w:spacing w:val="-7"/>
        </w:rPr>
        <w:t> </w:t>
      </w:r>
      <w:r>
        <w:rPr/>
        <w:t>School</w:t>
      </w:r>
      <w:r>
        <w:rPr>
          <w:spacing w:val="-7"/>
        </w:rPr>
        <w:t> </w:t>
      </w:r>
      <w:r>
        <w:rPr/>
        <w:t>Chair.</w:t>
      </w:r>
      <w:r>
        <w:rPr>
          <w:spacing w:val="-6"/>
        </w:rPr>
        <w:t> </w:t>
      </w:r>
      <w:r>
        <w:rPr/>
        <w:t>The</w:t>
      </w:r>
      <w:r>
        <w:rPr>
          <w:spacing w:val="-7"/>
        </w:rPr>
        <w:t> </w:t>
      </w:r>
      <w:r>
        <w:rPr/>
        <w:t>time</w:t>
      </w:r>
      <w:r>
        <w:rPr>
          <w:spacing w:val="-6"/>
        </w:rPr>
        <w:t> </w:t>
      </w:r>
      <w:r>
        <w:rPr/>
        <w:t>limit</w:t>
      </w:r>
      <w:r>
        <w:rPr>
          <w:spacing w:val="-6"/>
        </w:rPr>
        <w:t> </w:t>
      </w:r>
      <w:r>
        <w:rPr/>
        <w:t>may</w:t>
      </w:r>
      <w:r>
        <w:rPr>
          <w:spacing w:val="-7"/>
        </w:rPr>
        <w:t> </w:t>
      </w:r>
      <w:r>
        <w:rPr/>
        <w:t>be</w:t>
      </w:r>
      <w:r>
        <w:rPr>
          <w:spacing w:val="-6"/>
        </w:rPr>
        <w:t> </w:t>
      </w:r>
      <w:r>
        <w:rPr/>
        <w:t>extended</w:t>
      </w:r>
      <w:r>
        <w:rPr>
          <w:spacing w:val="-6"/>
        </w:rPr>
        <w:t> </w:t>
      </w:r>
      <w:r>
        <w:rPr/>
        <w:t>for</w:t>
      </w:r>
      <w:r>
        <w:rPr>
          <w:spacing w:val="-7"/>
        </w:rPr>
        <w:t> </w:t>
      </w:r>
      <w:r>
        <w:rPr/>
        <w:t>one</w:t>
      </w:r>
      <w:r>
        <w:rPr>
          <w:spacing w:val="-6"/>
        </w:rPr>
        <w:t> </w:t>
      </w:r>
      <w:r>
        <w:rPr/>
        <w:t>semester</w:t>
      </w:r>
      <w:r>
        <w:rPr>
          <w:spacing w:val="-7"/>
        </w:rPr>
        <w:t> </w:t>
      </w:r>
      <w:r>
        <w:rPr/>
        <w:t>if</w:t>
      </w:r>
      <w:r>
        <w:rPr>
          <w:spacing w:val="-6"/>
        </w:rPr>
        <w:t> </w:t>
      </w:r>
      <w:r>
        <w:rPr/>
        <w:t>the</w:t>
      </w:r>
      <w:r>
        <w:rPr>
          <w:spacing w:val="-6"/>
        </w:rPr>
        <w:t> </w:t>
      </w:r>
      <w:r>
        <w:rPr/>
        <w:t>student can show a reasonable plan for completing the degree</w:t>
      </w:r>
      <w:r>
        <w:rPr>
          <w:spacing w:val="-1"/>
        </w:rPr>
        <w:t> </w:t>
      </w:r>
      <w:r>
        <w:rPr/>
        <w:t>requirements.</w:t>
      </w:r>
    </w:p>
    <w:p>
      <w:pPr>
        <w:pStyle w:val="BodyText"/>
        <w:rPr>
          <w:sz w:val="28"/>
        </w:rPr>
      </w:pPr>
    </w:p>
    <w:p>
      <w:pPr>
        <w:pStyle w:val="BodyText"/>
        <w:rPr>
          <w:sz w:val="28"/>
        </w:rPr>
      </w:pPr>
    </w:p>
    <w:p>
      <w:pPr>
        <w:pStyle w:val="BodyText"/>
        <w:spacing w:before="6"/>
        <w:rPr>
          <w:sz w:val="26"/>
        </w:rPr>
      </w:pPr>
    </w:p>
    <w:p>
      <w:pPr>
        <w:pStyle w:val="Heading2"/>
      </w:pPr>
      <w:r>
        <w:rPr>
          <w:color w:val="1F497C"/>
        </w:rPr>
        <w:t>GRADUATION</w:t>
      </w:r>
    </w:p>
    <w:p>
      <w:pPr>
        <w:pStyle w:val="BodyText"/>
        <w:rPr>
          <w:b/>
        </w:rPr>
      </w:pPr>
    </w:p>
    <w:p>
      <w:pPr>
        <w:pStyle w:val="BodyText"/>
        <w:ind w:left="863" w:right="561"/>
      </w:pPr>
      <w:r>
        <w:rPr/>
        <w:t>Students in their last semester of Master of Social Work program must follow all Graduate School Policies and Procedures to apply for graduation. The intent to graduate form is due early in the semester that the student plans to complete the program. The Master’s Degree Candidacy form is due several weeks before the end of the semester. It is the student’s responsibility to read and be familiar with the policies and procedures for graduation. Policies and procedures may be found on the Graduate School’s website: </w:t>
      </w:r>
      <w:hyperlink r:id="rId20">
        <w:r>
          <w:rPr>
            <w:color w:val="0000FF"/>
            <w:u w:val="single" w:color="0000FF"/>
          </w:rPr>
          <w:t>http://www.memphis.edu/gradschool/current_students/graduation_information/graduation.php</w:t>
        </w:r>
      </w:hyperlink>
    </w:p>
    <w:p>
      <w:pPr>
        <w:pStyle w:val="BodyText"/>
        <w:rPr>
          <w:sz w:val="20"/>
        </w:rPr>
      </w:pPr>
    </w:p>
    <w:p>
      <w:pPr>
        <w:pStyle w:val="BodyText"/>
        <w:spacing w:before="1"/>
        <w:rPr>
          <w:sz w:val="20"/>
        </w:rPr>
      </w:pPr>
    </w:p>
    <w:p>
      <w:pPr>
        <w:pStyle w:val="Heading2"/>
        <w:spacing w:before="100"/>
      </w:pPr>
      <w:r>
        <w:rPr>
          <w:color w:val="1F497C"/>
        </w:rPr>
        <w:t>NON-DEGREE SEEKING STUDENTS</w:t>
      </w:r>
    </w:p>
    <w:p>
      <w:pPr>
        <w:pStyle w:val="BodyText"/>
        <w:spacing w:before="240"/>
        <w:ind w:left="865" w:right="213"/>
        <w:jc w:val="both"/>
      </w:pPr>
      <w:r>
        <w:rPr/>
        <w:t>Students who have been admitted to the Graduate School as non-degree seeking may take courses in the School of Social Work with permission of the instructor and MSW program director. Non-degree seeking students without a Master of Social Work degree may take generalist courses. Non-degree seeking</w:t>
      </w:r>
      <w:r>
        <w:rPr>
          <w:spacing w:val="-9"/>
        </w:rPr>
        <w:t> </w:t>
      </w:r>
      <w:r>
        <w:rPr/>
        <w:t>students</w:t>
      </w:r>
      <w:r>
        <w:rPr>
          <w:spacing w:val="-8"/>
        </w:rPr>
        <w:t> </w:t>
      </w:r>
      <w:r>
        <w:rPr/>
        <w:t>who</w:t>
      </w:r>
      <w:r>
        <w:rPr>
          <w:spacing w:val="-9"/>
        </w:rPr>
        <w:t> </w:t>
      </w:r>
      <w:r>
        <w:rPr/>
        <w:t>have</w:t>
      </w:r>
      <w:r>
        <w:rPr>
          <w:spacing w:val="-8"/>
        </w:rPr>
        <w:t> </w:t>
      </w:r>
      <w:r>
        <w:rPr/>
        <w:t>a</w:t>
      </w:r>
      <w:r>
        <w:rPr>
          <w:spacing w:val="-9"/>
        </w:rPr>
        <w:t> </w:t>
      </w:r>
      <w:r>
        <w:rPr/>
        <w:t>prior</w:t>
      </w:r>
      <w:r>
        <w:rPr>
          <w:spacing w:val="-8"/>
        </w:rPr>
        <w:t> </w:t>
      </w:r>
      <w:r>
        <w:rPr/>
        <w:t>MSW</w:t>
      </w:r>
      <w:r>
        <w:rPr>
          <w:spacing w:val="-9"/>
        </w:rPr>
        <w:t> </w:t>
      </w:r>
      <w:r>
        <w:rPr/>
        <w:t>degree</w:t>
      </w:r>
      <w:r>
        <w:rPr>
          <w:spacing w:val="-8"/>
        </w:rPr>
        <w:t> </w:t>
      </w:r>
      <w:r>
        <w:rPr/>
        <w:t>may</w:t>
      </w:r>
      <w:r>
        <w:rPr>
          <w:spacing w:val="-9"/>
        </w:rPr>
        <w:t> </w:t>
      </w:r>
      <w:r>
        <w:rPr/>
        <w:t>take</w:t>
      </w:r>
      <w:r>
        <w:rPr>
          <w:spacing w:val="-8"/>
        </w:rPr>
        <w:t> </w:t>
      </w:r>
      <w:r>
        <w:rPr/>
        <w:t>generalist,</w:t>
      </w:r>
      <w:r>
        <w:rPr>
          <w:spacing w:val="-9"/>
        </w:rPr>
        <w:t> </w:t>
      </w:r>
      <w:r>
        <w:rPr/>
        <w:t>specialization,</w:t>
      </w:r>
      <w:r>
        <w:rPr>
          <w:spacing w:val="-8"/>
        </w:rPr>
        <w:t> </w:t>
      </w:r>
      <w:r>
        <w:rPr/>
        <w:t>or</w:t>
      </w:r>
      <w:r>
        <w:rPr>
          <w:spacing w:val="-10"/>
        </w:rPr>
        <w:t> </w:t>
      </w:r>
      <w:r>
        <w:rPr/>
        <w:t>elective</w:t>
      </w:r>
      <w:r>
        <w:rPr>
          <w:spacing w:val="-8"/>
        </w:rPr>
        <w:t> </w:t>
      </w:r>
      <w:r>
        <w:rPr/>
        <w:t>courses. In special circumstances other non-degree seeking students who hold another graduate degree may be given permission to take specialization and/or elective courses at the discretion of the MSW program director. No more than nine (9) credit hours may be completed as non-degree seeking. Non- degree seeking students must follow all guidelines for prerequisites. Permission to enter a course as a non-degree seeking student will be given if space is available. Students admitted to the MSW</w:t>
      </w:r>
      <w:r>
        <w:rPr>
          <w:spacing w:val="-35"/>
        </w:rPr>
        <w:t> </w:t>
      </w:r>
      <w:r>
        <w:rPr/>
        <w:t>program will be given priority over non-degree seeking</w:t>
      </w:r>
      <w:r>
        <w:rPr>
          <w:spacing w:val="-2"/>
        </w:rPr>
        <w:t> </w:t>
      </w:r>
      <w:r>
        <w:rPr/>
        <w:t>students.</w:t>
      </w:r>
    </w:p>
    <w:p>
      <w:pPr>
        <w:pStyle w:val="BodyText"/>
        <w:rPr>
          <w:sz w:val="28"/>
        </w:rPr>
      </w:pPr>
    </w:p>
    <w:p>
      <w:pPr>
        <w:pStyle w:val="BodyText"/>
        <w:spacing w:before="1"/>
        <w:rPr>
          <w:sz w:val="35"/>
        </w:rPr>
      </w:pPr>
    </w:p>
    <w:p>
      <w:pPr>
        <w:pStyle w:val="Heading2"/>
        <w:spacing w:before="1"/>
      </w:pPr>
      <w:r>
        <w:rPr>
          <w:color w:val="1F497C"/>
        </w:rPr>
        <w:t>GRADUATE STUDENTS FROM OTHER ACADEMIC</w:t>
      </w:r>
      <w:r>
        <w:rPr>
          <w:color w:val="1F497C"/>
          <w:spacing w:val="-1"/>
        </w:rPr>
        <w:t> </w:t>
      </w:r>
      <w:r>
        <w:rPr>
          <w:color w:val="1F497C"/>
        </w:rPr>
        <w:t>UNITS</w:t>
      </w:r>
    </w:p>
    <w:p>
      <w:pPr>
        <w:pStyle w:val="BodyText"/>
        <w:spacing w:before="239"/>
        <w:ind w:left="865" w:right="214"/>
        <w:jc w:val="both"/>
      </w:pPr>
      <w:r>
        <w:rPr/>
        <w:t>Graduate students from other academic units can be given permission to take social work courses by permission of the instructor. Students from other academic units should follow guidelines for prerequisites. Permission to enter the course will be given if space is available. Students in the MSW program will be given priority over students from other academic units.</w:t>
      </w:r>
    </w:p>
    <w:p>
      <w:pPr>
        <w:spacing w:after="0"/>
        <w:jc w:val="both"/>
        <w:sectPr>
          <w:pgSz w:w="12240" w:h="15840"/>
          <w:pgMar w:header="0" w:footer="992" w:top="1380" w:bottom="1180" w:left="300" w:right="920"/>
        </w:sectPr>
      </w:pPr>
    </w:p>
    <w:p>
      <w:pPr>
        <w:pStyle w:val="Heading2"/>
        <w:spacing w:before="73"/>
        <w:ind w:left="863"/>
      </w:pPr>
      <w:r>
        <w:rPr>
          <w:color w:val="1F497C"/>
        </w:rPr>
        <w:t>ACADEMIC MISCONDUCT</w:t>
      </w:r>
    </w:p>
    <w:p>
      <w:pPr>
        <w:pStyle w:val="BodyText"/>
        <w:spacing w:before="240"/>
        <w:ind w:left="863" w:right="212"/>
        <w:jc w:val="both"/>
      </w:pPr>
      <w:r>
        <w:rPr/>
        <w:t>Graduate students at the University of Memphis are expected to observe the regulations and policies that govern the behavior of students as members of this academic community. These regulations and policies are published in the Student Handbook. In particular, graduate students should become familiar</w:t>
      </w:r>
      <w:r>
        <w:rPr>
          <w:spacing w:val="-6"/>
        </w:rPr>
        <w:t> </w:t>
      </w:r>
      <w:r>
        <w:rPr/>
        <w:t>with</w:t>
      </w:r>
      <w:r>
        <w:rPr>
          <w:spacing w:val="-5"/>
        </w:rPr>
        <w:t> </w:t>
      </w:r>
      <w:r>
        <w:rPr/>
        <w:t>the</w:t>
      </w:r>
      <w:r>
        <w:rPr>
          <w:spacing w:val="-5"/>
        </w:rPr>
        <w:t> </w:t>
      </w:r>
      <w:r>
        <w:rPr/>
        <w:t>University's</w:t>
      </w:r>
      <w:r>
        <w:rPr>
          <w:spacing w:val="-5"/>
        </w:rPr>
        <w:t> </w:t>
      </w:r>
      <w:r>
        <w:rPr/>
        <w:t>policies</w:t>
      </w:r>
      <w:r>
        <w:rPr>
          <w:spacing w:val="-5"/>
        </w:rPr>
        <w:t> </w:t>
      </w:r>
      <w:r>
        <w:rPr/>
        <w:t>on</w:t>
      </w:r>
      <w:r>
        <w:rPr>
          <w:spacing w:val="-5"/>
        </w:rPr>
        <w:t> </w:t>
      </w:r>
      <w:r>
        <w:rPr/>
        <w:t>plagiarism</w:t>
      </w:r>
      <w:r>
        <w:rPr>
          <w:spacing w:val="-4"/>
        </w:rPr>
        <w:t> </w:t>
      </w:r>
      <w:r>
        <w:rPr/>
        <w:t>in</w:t>
      </w:r>
      <w:r>
        <w:rPr>
          <w:spacing w:val="-5"/>
        </w:rPr>
        <w:t> </w:t>
      </w:r>
      <w:r>
        <w:rPr/>
        <w:t>its</w:t>
      </w:r>
      <w:r>
        <w:rPr>
          <w:spacing w:val="-5"/>
        </w:rPr>
        <w:t> </w:t>
      </w:r>
      <w:r>
        <w:rPr/>
        <w:t>various</w:t>
      </w:r>
      <w:r>
        <w:rPr>
          <w:spacing w:val="-5"/>
        </w:rPr>
        <w:t> </w:t>
      </w:r>
      <w:r>
        <w:rPr/>
        <w:t>forms.</w:t>
      </w:r>
      <w:r>
        <w:rPr>
          <w:spacing w:val="-6"/>
        </w:rPr>
        <w:t> </w:t>
      </w:r>
      <w:r>
        <w:rPr/>
        <w:t>Furthermore,</w:t>
      </w:r>
      <w:r>
        <w:rPr>
          <w:spacing w:val="-5"/>
        </w:rPr>
        <w:t> </w:t>
      </w:r>
      <w:r>
        <w:rPr/>
        <w:t>term</w:t>
      </w:r>
      <w:r>
        <w:rPr>
          <w:spacing w:val="-4"/>
        </w:rPr>
        <w:t> </w:t>
      </w:r>
      <w:r>
        <w:rPr/>
        <w:t>papers</w:t>
      </w:r>
      <w:r>
        <w:rPr>
          <w:spacing w:val="-5"/>
        </w:rPr>
        <w:t> </w:t>
      </w:r>
      <w:r>
        <w:rPr/>
        <w:t>may not be used to meet the requirements of more than one course unless approved in advance by both instructors.</w:t>
      </w:r>
    </w:p>
    <w:p>
      <w:pPr>
        <w:pStyle w:val="BodyText"/>
        <w:spacing w:before="8"/>
        <w:rPr>
          <w:sz w:val="22"/>
        </w:rPr>
      </w:pPr>
    </w:p>
    <w:p>
      <w:pPr>
        <w:pStyle w:val="BodyText"/>
        <w:spacing w:line="244" w:lineRule="auto" w:before="1"/>
        <w:ind w:left="865" w:right="215"/>
        <w:jc w:val="both"/>
      </w:pPr>
      <w:r>
        <w:rPr/>
        <w:t>The University of Memphis </w:t>
      </w:r>
      <w:r>
        <w:rPr>
          <w:color w:val="0000FF"/>
          <w:u w:val="single" w:color="0000FF"/>
        </w:rPr>
        <w:t>Code of Student Conduct </w:t>
      </w:r>
      <w:r>
        <w:rPr/>
        <w:t>defines academic misconduct as all acts of cheating, plagiarism, forgery, and falsification.</w:t>
      </w:r>
    </w:p>
    <w:p>
      <w:pPr>
        <w:pStyle w:val="BodyText"/>
        <w:spacing w:before="2"/>
        <w:rPr>
          <w:sz w:val="22"/>
        </w:rPr>
      </w:pPr>
    </w:p>
    <w:p>
      <w:pPr>
        <w:pStyle w:val="BodyText"/>
        <w:ind w:left="865"/>
      </w:pPr>
      <w:r>
        <w:rPr/>
        <w:t>The term “cheating” includes, but is not limited to:</w:t>
      </w:r>
    </w:p>
    <w:p>
      <w:pPr>
        <w:pStyle w:val="ListParagraph"/>
        <w:numPr>
          <w:ilvl w:val="1"/>
          <w:numId w:val="15"/>
        </w:numPr>
        <w:tabs>
          <w:tab w:pos="1583" w:val="left" w:leader="none"/>
          <w:tab w:pos="1584" w:val="left" w:leader="none"/>
        </w:tabs>
        <w:spacing w:line="240" w:lineRule="auto" w:before="0" w:after="0"/>
        <w:ind w:left="1585" w:right="0" w:hanging="362"/>
        <w:jc w:val="left"/>
        <w:rPr>
          <w:rFonts w:ascii="Symbol" w:hAnsi="Symbol"/>
          <w:sz w:val="20"/>
        </w:rPr>
      </w:pPr>
      <w:r>
        <w:rPr>
          <w:sz w:val="24"/>
        </w:rPr>
        <w:t>Using any unauthorized assistance in taking quizzes or</w:t>
      </w:r>
      <w:r>
        <w:rPr>
          <w:spacing w:val="-20"/>
          <w:sz w:val="24"/>
        </w:rPr>
        <w:t> </w:t>
      </w:r>
      <w:r>
        <w:rPr>
          <w:sz w:val="24"/>
        </w:rPr>
        <w:t>tests;</w:t>
      </w:r>
    </w:p>
    <w:p>
      <w:pPr>
        <w:pStyle w:val="ListParagraph"/>
        <w:numPr>
          <w:ilvl w:val="1"/>
          <w:numId w:val="15"/>
        </w:numPr>
        <w:tabs>
          <w:tab w:pos="1583" w:val="left" w:leader="none"/>
          <w:tab w:pos="1584" w:val="left" w:leader="none"/>
        </w:tabs>
        <w:spacing w:line="240" w:lineRule="auto" w:before="0" w:after="0"/>
        <w:ind w:left="1585" w:right="333" w:hanging="362"/>
        <w:jc w:val="left"/>
        <w:rPr>
          <w:rFonts w:ascii="Symbol" w:hAnsi="Symbol"/>
          <w:sz w:val="20"/>
        </w:rPr>
      </w:pPr>
      <w:r>
        <w:rPr>
          <w:sz w:val="24"/>
        </w:rPr>
        <w:t>Using sources beyond those authorized by the instructor in writing papers, preparing reports, solving problems, or carrying out other</w:t>
      </w:r>
      <w:r>
        <w:rPr>
          <w:spacing w:val="-28"/>
          <w:sz w:val="24"/>
        </w:rPr>
        <w:t> </w:t>
      </w:r>
      <w:r>
        <w:rPr>
          <w:sz w:val="24"/>
        </w:rPr>
        <w:t>assignments;</w:t>
      </w:r>
    </w:p>
    <w:p>
      <w:pPr>
        <w:pStyle w:val="ListParagraph"/>
        <w:numPr>
          <w:ilvl w:val="1"/>
          <w:numId w:val="15"/>
        </w:numPr>
        <w:tabs>
          <w:tab w:pos="1583" w:val="left" w:leader="none"/>
          <w:tab w:pos="1584" w:val="left" w:leader="none"/>
        </w:tabs>
        <w:spacing w:line="244" w:lineRule="auto" w:before="0" w:after="0"/>
        <w:ind w:left="1585" w:right="424" w:hanging="362"/>
        <w:jc w:val="left"/>
        <w:rPr>
          <w:rFonts w:ascii="Symbol" w:hAnsi="Symbol"/>
          <w:sz w:val="20"/>
        </w:rPr>
      </w:pPr>
      <w:r>
        <w:rPr>
          <w:sz w:val="24"/>
        </w:rPr>
        <w:t>Acquiring tests or other academic material before such material is revealed or distributed by the</w:t>
      </w:r>
      <w:r>
        <w:rPr>
          <w:spacing w:val="-11"/>
          <w:sz w:val="24"/>
        </w:rPr>
        <w:t> </w:t>
      </w:r>
      <w:r>
        <w:rPr>
          <w:sz w:val="24"/>
        </w:rPr>
        <w:t>instructor;</w:t>
      </w:r>
    </w:p>
    <w:p>
      <w:pPr>
        <w:pStyle w:val="ListParagraph"/>
        <w:numPr>
          <w:ilvl w:val="1"/>
          <w:numId w:val="15"/>
        </w:numPr>
        <w:tabs>
          <w:tab w:pos="1583" w:val="left" w:leader="none"/>
          <w:tab w:pos="1584" w:val="left" w:leader="none"/>
        </w:tabs>
        <w:spacing w:line="240" w:lineRule="auto" w:before="0" w:after="0"/>
        <w:ind w:left="1585" w:right="325" w:hanging="362"/>
        <w:jc w:val="left"/>
        <w:rPr>
          <w:rFonts w:ascii="Symbol" w:hAnsi="Symbol"/>
          <w:sz w:val="20"/>
        </w:rPr>
      </w:pPr>
      <w:r>
        <w:rPr>
          <w:sz w:val="24"/>
        </w:rPr>
        <w:t>Misrepresenting papers, reports, assignments or other materials as the product of </w:t>
      </w:r>
      <w:r>
        <w:rPr>
          <w:spacing w:val="2"/>
          <w:sz w:val="24"/>
        </w:rPr>
        <w:t>astudent’s </w:t>
      </w:r>
      <w:r>
        <w:rPr>
          <w:sz w:val="24"/>
        </w:rPr>
        <w:t>sole independent</w:t>
      </w:r>
      <w:r>
        <w:rPr>
          <w:spacing w:val="-13"/>
          <w:sz w:val="24"/>
        </w:rPr>
        <w:t> </w:t>
      </w:r>
      <w:r>
        <w:rPr>
          <w:sz w:val="24"/>
        </w:rPr>
        <w:t>effort;</w:t>
      </w:r>
    </w:p>
    <w:p>
      <w:pPr>
        <w:pStyle w:val="ListParagraph"/>
        <w:numPr>
          <w:ilvl w:val="1"/>
          <w:numId w:val="15"/>
        </w:numPr>
        <w:tabs>
          <w:tab w:pos="1583" w:val="left" w:leader="none"/>
          <w:tab w:pos="1584" w:val="left" w:leader="none"/>
        </w:tabs>
        <w:spacing w:line="293" w:lineRule="exact" w:before="0" w:after="0"/>
        <w:ind w:left="1584" w:right="0" w:hanging="361"/>
        <w:jc w:val="left"/>
        <w:rPr>
          <w:rFonts w:ascii="Symbol" w:hAnsi="Symbol"/>
          <w:sz w:val="20"/>
        </w:rPr>
      </w:pPr>
      <w:r>
        <w:rPr>
          <w:sz w:val="24"/>
        </w:rPr>
        <w:t>Failing to abide by the instructions of the proctor concerning</w:t>
      </w:r>
      <w:r>
        <w:rPr>
          <w:spacing w:val="2"/>
          <w:sz w:val="24"/>
        </w:rPr>
        <w:t> </w:t>
      </w:r>
      <w:r>
        <w:rPr>
          <w:sz w:val="24"/>
        </w:rPr>
        <w:t>test-takingprocedures;</w:t>
      </w:r>
    </w:p>
    <w:p>
      <w:pPr>
        <w:pStyle w:val="ListParagraph"/>
        <w:numPr>
          <w:ilvl w:val="1"/>
          <w:numId w:val="15"/>
        </w:numPr>
        <w:tabs>
          <w:tab w:pos="1583" w:val="left" w:leader="none"/>
          <w:tab w:pos="1584" w:val="left" w:leader="none"/>
        </w:tabs>
        <w:spacing w:line="240" w:lineRule="auto" w:before="0" w:after="0"/>
        <w:ind w:left="1585" w:right="386" w:hanging="362"/>
        <w:jc w:val="left"/>
        <w:rPr>
          <w:rFonts w:ascii="Symbol" w:hAnsi="Symbol"/>
          <w:sz w:val="20"/>
        </w:rPr>
      </w:pPr>
      <w:r>
        <w:rPr>
          <w:sz w:val="24"/>
        </w:rPr>
        <w:t>Influencing, or attempting to influence, any University employee to change a student’s </w:t>
      </w:r>
      <w:r>
        <w:rPr>
          <w:spacing w:val="-3"/>
          <w:sz w:val="24"/>
        </w:rPr>
        <w:t>grade </w:t>
      </w:r>
      <w:r>
        <w:rPr>
          <w:sz w:val="24"/>
        </w:rPr>
        <w:t>or evaluation;</w:t>
      </w:r>
      <w:r>
        <w:rPr>
          <w:spacing w:val="-4"/>
          <w:sz w:val="24"/>
        </w:rPr>
        <w:t> </w:t>
      </w:r>
      <w:r>
        <w:rPr>
          <w:sz w:val="24"/>
        </w:rPr>
        <w:t>and</w:t>
      </w:r>
    </w:p>
    <w:p>
      <w:pPr>
        <w:pStyle w:val="ListParagraph"/>
        <w:numPr>
          <w:ilvl w:val="1"/>
          <w:numId w:val="15"/>
        </w:numPr>
        <w:tabs>
          <w:tab w:pos="1583" w:val="left" w:leader="none"/>
          <w:tab w:pos="1584" w:val="left" w:leader="none"/>
        </w:tabs>
        <w:spacing w:line="293" w:lineRule="exact" w:before="0" w:after="0"/>
        <w:ind w:left="1584" w:right="0" w:hanging="361"/>
        <w:jc w:val="left"/>
        <w:rPr>
          <w:rFonts w:ascii="Symbol" w:hAnsi="Symbol"/>
          <w:sz w:val="20"/>
        </w:rPr>
      </w:pPr>
      <w:r>
        <w:rPr>
          <w:sz w:val="24"/>
        </w:rPr>
        <w:t>Any</w:t>
      </w:r>
      <w:r>
        <w:rPr>
          <w:spacing w:val="-7"/>
          <w:sz w:val="24"/>
        </w:rPr>
        <w:t> </w:t>
      </w:r>
      <w:r>
        <w:rPr>
          <w:sz w:val="24"/>
        </w:rPr>
        <w:t>forgery,</w:t>
      </w:r>
      <w:r>
        <w:rPr>
          <w:spacing w:val="-6"/>
          <w:sz w:val="24"/>
        </w:rPr>
        <w:t> </w:t>
      </w:r>
      <w:r>
        <w:rPr>
          <w:sz w:val="24"/>
        </w:rPr>
        <w:t>alteration,</w:t>
      </w:r>
      <w:r>
        <w:rPr>
          <w:spacing w:val="-8"/>
          <w:sz w:val="24"/>
        </w:rPr>
        <w:t> </w:t>
      </w:r>
      <w:r>
        <w:rPr>
          <w:sz w:val="24"/>
        </w:rPr>
        <w:t>unauthorized</w:t>
      </w:r>
      <w:r>
        <w:rPr>
          <w:spacing w:val="-6"/>
          <w:sz w:val="24"/>
        </w:rPr>
        <w:t> </w:t>
      </w:r>
      <w:r>
        <w:rPr>
          <w:sz w:val="24"/>
        </w:rPr>
        <w:t>possession,</w:t>
      </w:r>
      <w:r>
        <w:rPr>
          <w:spacing w:val="-7"/>
          <w:sz w:val="24"/>
        </w:rPr>
        <w:t> </w:t>
      </w:r>
      <w:r>
        <w:rPr>
          <w:sz w:val="24"/>
        </w:rPr>
        <w:t>or</w:t>
      </w:r>
      <w:r>
        <w:rPr>
          <w:spacing w:val="-5"/>
          <w:sz w:val="24"/>
        </w:rPr>
        <w:t> </w:t>
      </w:r>
      <w:r>
        <w:rPr>
          <w:sz w:val="24"/>
        </w:rPr>
        <w:t>misuse</w:t>
      </w:r>
      <w:r>
        <w:rPr>
          <w:spacing w:val="-7"/>
          <w:sz w:val="24"/>
        </w:rPr>
        <w:t> </w:t>
      </w:r>
      <w:r>
        <w:rPr>
          <w:sz w:val="24"/>
        </w:rPr>
        <w:t>of</w:t>
      </w:r>
      <w:r>
        <w:rPr>
          <w:spacing w:val="-5"/>
          <w:sz w:val="24"/>
        </w:rPr>
        <w:t> </w:t>
      </w:r>
      <w:r>
        <w:rPr>
          <w:sz w:val="24"/>
        </w:rPr>
        <w:t>University</w:t>
      </w:r>
      <w:r>
        <w:rPr>
          <w:spacing w:val="-6"/>
          <w:sz w:val="24"/>
        </w:rPr>
        <w:t> </w:t>
      </w:r>
      <w:r>
        <w:rPr>
          <w:sz w:val="24"/>
        </w:rPr>
        <w:t>documents.</w:t>
      </w:r>
    </w:p>
    <w:p>
      <w:pPr>
        <w:pStyle w:val="BodyText"/>
        <w:spacing w:before="2"/>
        <w:rPr>
          <w:sz w:val="22"/>
        </w:rPr>
      </w:pPr>
    </w:p>
    <w:p>
      <w:pPr>
        <w:pStyle w:val="BodyText"/>
        <w:spacing w:line="249" w:lineRule="auto"/>
        <w:ind w:left="863" w:right="214"/>
      </w:pPr>
      <w:r>
        <w:rPr/>
        <w:t>The term </w:t>
      </w:r>
      <w:r>
        <w:rPr>
          <w:b/>
        </w:rPr>
        <w:t>plagiarism </w:t>
      </w:r>
      <w:r>
        <w:rPr/>
        <w:t>includes, but is not limited to, the use, by paraphrase or direct quotation, of the published or unpublished work of another person without full or clear acknowledgement. It also includes the unacknowledged use of materials prepared by another person or agency engaged in the selling of term papers or other academic materials.</w:t>
      </w:r>
    </w:p>
    <w:p>
      <w:pPr>
        <w:pStyle w:val="BodyText"/>
        <w:rPr>
          <w:sz w:val="22"/>
        </w:rPr>
      </w:pPr>
    </w:p>
    <w:p>
      <w:pPr>
        <w:pStyle w:val="BodyText"/>
        <w:spacing w:before="1"/>
        <w:ind w:left="863" w:right="213"/>
        <w:jc w:val="both"/>
      </w:pPr>
      <w:r>
        <w:rPr/>
        <w:t>Academic</w:t>
      </w:r>
      <w:r>
        <w:rPr>
          <w:spacing w:val="-14"/>
        </w:rPr>
        <w:t> </w:t>
      </w:r>
      <w:r>
        <w:rPr/>
        <w:t>misconduct</w:t>
      </w:r>
      <w:r>
        <w:rPr>
          <w:spacing w:val="-13"/>
        </w:rPr>
        <w:t> </w:t>
      </w:r>
      <w:r>
        <w:rPr/>
        <w:t>also</w:t>
      </w:r>
      <w:r>
        <w:rPr>
          <w:spacing w:val="-14"/>
        </w:rPr>
        <w:t> </w:t>
      </w:r>
      <w:r>
        <w:rPr/>
        <w:t>includes</w:t>
      </w:r>
      <w:r>
        <w:rPr>
          <w:spacing w:val="-13"/>
        </w:rPr>
        <w:t> </w:t>
      </w:r>
      <w:r>
        <w:rPr/>
        <w:t>furnishing</w:t>
      </w:r>
      <w:r>
        <w:rPr>
          <w:spacing w:val="-14"/>
        </w:rPr>
        <w:t> </w:t>
      </w:r>
      <w:r>
        <w:rPr/>
        <w:t>false</w:t>
      </w:r>
      <w:r>
        <w:rPr>
          <w:spacing w:val="-13"/>
        </w:rPr>
        <w:t> </w:t>
      </w:r>
      <w:r>
        <w:rPr/>
        <w:t>information</w:t>
      </w:r>
      <w:r>
        <w:rPr>
          <w:spacing w:val="-13"/>
        </w:rPr>
        <w:t> </w:t>
      </w:r>
      <w:r>
        <w:rPr/>
        <w:t>to</w:t>
      </w:r>
      <w:r>
        <w:rPr>
          <w:spacing w:val="-14"/>
        </w:rPr>
        <w:t> </w:t>
      </w:r>
      <w:r>
        <w:rPr/>
        <w:t>a</w:t>
      </w:r>
      <w:r>
        <w:rPr>
          <w:spacing w:val="-13"/>
        </w:rPr>
        <w:t> </w:t>
      </w:r>
      <w:r>
        <w:rPr/>
        <w:t>University</w:t>
      </w:r>
      <w:r>
        <w:rPr>
          <w:spacing w:val="-14"/>
        </w:rPr>
        <w:t> </w:t>
      </w:r>
      <w:r>
        <w:rPr/>
        <w:t>official,</w:t>
      </w:r>
      <w:r>
        <w:rPr>
          <w:spacing w:val="-13"/>
        </w:rPr>
        <w:t> </w:t>
      </w:r>
      <w:r>
        <w:rPr/>
        <w:t>faculty</w:t>
      </w:r>
      <w:r>
        <w:rPr>
          <w:spacing w:val="-13"/>
        </w:rPr>
        <w:t> </w:t>
      </w:r>
      <w:r>
        <w:rPr/>
        <w:t>member, or office; or the forgery, alteration, or misuse of any University document, record, or instrument of identification. The Academic Discipline Committee, a standing University committee appointed by the President, addresses allegations of academic</w:t>
      </w:r>
      <w:r>
        <w:rPr>
          <w:spacing w:val="-2"/>
        </w:rPr>
        <w:t> </w:t>
      </w:r>
      <w:r>
        <w:rPr/>
        <w:t>misconduct.</w:t>
      </w:r>
    </w:p>
    <w:p>
      <w:pPr>
        <w:pStyle w:val="BodyText"/>
        <w:rPr>
          <w:sz w:val="28"/>
        </w:rPr>
      </w:pPr>
    </w:p>
    <w:p>
      <w:pPr>
        <w:pStyle w:val="BodyText"/>
        <w:spacing w:before="2"/>
        <w:rPr>
          <w:sz w:val="35"/>
        </w:rPr>
      </w:pPr>
    </w:p>
    <w:p>
      <w:pPr>
        <w:pStyle w:val="Heading2"/>
        <w:spacing w:before="1"/>
        <w:ind w:left="863"/>
      </w:pPr>
      <w:r>
        <w:rPr>
          <w:color w:val="1F497C"/>
        </w:rPr>
        <w:t>PROFESSIONAL CONDUCT</w:t>
      </w:r>
    </w:p>
    <w:p>
      <w:pPr>
        <w:pStyle w:val="BodyText"/>
        <w:spacing w:before="235"/>
        <w:ind w:left="863" w:right="212"/>
        <w:jc w:val="both"/>
      </w:pPr>
      <w:r>
        <w:rPr/>
        <w:t>Students enrolled in The University of Memphis Master of Social Work program must conduct themselves in a professionally ethical manner toward clients, students, faculty, and staff. Professional conduct is expected at all times.</w:t>
      </w:r>
    </w:p>
    <w:p>
      <w:pPr>
        <w:pStyle w:val="BodyText"/>
        <w:spacing w:before="239"/>
        <w:ind w:left="863" w:right="213"/>
        <w:jc w:val="both"/>
      </w:pPr>
      <w:r>
        <w:rPr/>
        <w:t>The</w:t>
      </w:r>
      <w:r>
        <w:rPr>
          <w:spacing w:val="-3"/>
        </w:rPr>
        <w:t> </w:t>
      </w:r>
      <w:r>
        <w:rPr/>
        <w:t>NASW</w:t>
      </w:r>
      <w:r>
        <w:rPr>
          <w:spacing w:val="-2"/>
        </w:rPr>
        <w:t> </w:t>
      </w:r>
      <w:r>
        <w:rPr/>
        <w:t>Code</w:t>
      </w:r>
      <w:r>
        <w:rPr>
          <w:spacing w:val="-3"/>
        </w:rPr>
        <w:t> </w:t>
      </w:r>
      <w:r>
        <w:rPr/>
        <w:t>of</w:t>
      </w:r>
      <w:r>
        <w:rPr>
          <w:spacing w:val="-2"/>
        </w:rPr>
        <w:t> </w:t>
      </w:r>
      <w:r>
        <w:rPr/>
        <w:t>Ethics</w:t>
      </w:r>
      <w:r>
        <w:rPr>
          <w:spacing w:val="-3"/>
        </w:rPr>
        <w:t> </w:t>
      </w:r>
      <w:r>
        <w:rPr/>
        <w:t>and</w:t>
      </w:r>
      <w:r>
        <w:rPr>
          <w:spacing w:val="-2"/>
        </w:rPr>
        <w:t> </w:t>
      </w:r>
      <w:r>
        <w:rPr/>
        <w:t>The</w:t>
      </w:r>
      <w:r>
        <w:rPr>
          <w:spacing w:val="-2"/>
        </w:rPr>
        <w:t> </w:t>
      </w:r>
      <w:r>
        <w:rPr/>
        <w:t>University</w:t>
      </w:r>
      <w:r>
        <w:rPr>
          <w:spacing w:val="-3"/>
        </w:rPr>
        <w:t> </w:t>
      </w:r>
      <w:r>
        <w:rPr/>
        <w:t>of</w:t>
      </w:r>
      <w:r>
        <w:rPr>
          <w:spacing w:val="-2"/>
        </w:rPr>
        <w:t> </w:t>
      </w:r>
      <w:r>
        <w:rPr/>
        <w:t>Memphis</w:t>
      </w:r>
      <w:r>
        <w:rPr>
          <w:spacing w:val="-3"/>
        </w:rPr>
        <w:t> </w:t>
      </w:r>
      <w:r>
        <w:rPr/>
        <w:t>Student</w:t>
      </w:r>
      <w:r>
        <w:rPr>
          <w:spacing w:val="-2"/>
        </w:rPr>
        <w:t> </w:t>
      </w:r>
      <w:r>
        <w:rPr/>
        <w:t>Code</w:t>
      </w:r>
      <w:r>
        <w:rPr>
          <w:spacing w:val="-3"/>
        </w:rPr>
        <w:t> </w:t>
      </w:r>
      <w:r>
        <w:rPr/>
        <w:t>of</w:t>
      </w:r>
      <w:r>
        <w:rPr>
          <w:spacing w:val="-2"/>
        </w:rPr>
        <w:t> </w:t>
      </w:r>
      <w:r>
        <w:rPr/>
        <w:t>Conduct</w:t>
      </w:r>
      <w:r>
        <w:rPr>
          <w:spacing w:val="-2"/>
        </w:rPr>
        <w:t> </w:t>
      </w:r>
      <w:r>
        <w:rPr/>
        <w:t>serve</w:t>
      </w:r>
      <w:r>
        <w:rPr>
          <w:spacing w:val="-3"/>
        </w:rPr>
        <w:t> </w:t>
      </w:r>
      <w:r>
        <w:rPr/>
        <w:t>as</w:t>
      </w:r>
      <w:r>
        <w:rPr>
          <w:spacing w:val="-2"/>
        </w:rPr>
        <w:t> </w:t>
      </w:r>
      <w:r>
        <w:rPr/>
        <w:t>guidelines and standards for professional conduct both on and off-campus. Any act that would</w:t>
      </w:r>
      <w:r>
        <w:rPr>
          <w:spacing w:val="13"/>
        </w:rPr>
        <w:t> </w:t>
      </w:r>
      <w:r>
        <w:rPr/>
        <w:t>constitute</w:t>
      </w:r>
    </w:p>
    <w:p>
      <w:pPr>
        <w:spacing w:after="0"/>
        <w:jc w:val="both"/>
        <w:sectPr>
          <w:pgSz w:w="12240" w:h="15840"/>
          <w:pgMar w:header="0" w:footer="992" w:top="1380" w:bottom="1180" w:left="300" w:right="920"/>
        </w:sectPr>
      </w:pPr>
    </w:p>
    <w:p>
      <w:pPr>
        <w:pStyle w:val="BodyText"/>
        <w:spacing w:before="73"/>
        <w:ind w:left="863" w:right="213"/>
        <w:jc w:val="both"/>
      </w:pPr>
      <w:r>
        <w:rPr/>
        <w:t>unethical practice, professional misconduct, or violations of the law, whether committed in College- related activities or not, is grounds for disciplinary action, up to and including dismissal from the program.</w:t>
      </w:r>
    </w:p>
    <w:p>
      <w:pPr>
        <w:pStyle w:val="BodyText"/>
        <w:spacing w:before="239"/>
        <w:ind w:left="865" w:right="341"/>
      </w:pPr>
      <w:r>
        <w:rPr/>
        <w:t>The University of Memphis, School of Social Work, through its various faculties and appropriate committees, reserves the discretionary right to dismiss any student from the College for failure to maintain appropriate personal conduct or professional standards and ethics. Please refer to the following documents for more information: NASW Code of Ethics, (</w:t>
      </w:r>
      <w:hyperlink r:id="rId21">
        <w:r>
          <w:rPr>
            <w:color w:val="0000FF"/>
            <w:u w:val="single" w:color="0000FF"/>
          </w:rPr>
          <w:t>http://www.socialworkers.org/pubs/code/default.asp</w:t>
        </w:r>
        <w:r>
          <w:rPr/>
          <w:t>),</w:t>
        </w:r>
      </w:hyperlink>
      <w:r>
        <w:rPr/>
        <w:t> and University of Memphis Student Code of Conduct, (</w:t>
      </w:r>
      <w:hyperlink r:id="rId22">
        <w:r>
          <w:rPr>
            <w:color w:val="0000FF"/>
            <w:u w:val="single" w:color="0000FF"/>
          </w:rPr>
          <w:t>http://www.memphis.edu/studentconduct/pdfs/csrr.pdf</w:t>
        </w:r>
        <w:r>
          <w:rPr/>
          <w:t>).</w:t>
        </w:r>
      </w:hyperlink>
    </w:p>
    <w:p>
      <w:pPr>
        <w:pStyle w:val="BodyText"/>
        <w:rPr>
          <w:sz w:val="20"/>
        </w:rPr>
      </w:pPr>
    </w:p>
    <w:p>
      <w:pPr>
        <w:pStyle w:val="BodyText"/>
        <w:spacing w:before="9"/>
        <w:rPr>
          <w:sz w:val="19"/>
        </w:rPr>
      </w:pPr>
    </w:p>
    <w:p>
      <w:pPr>
        <w:pStyle w:val="Heading2"/>
        <w:spacing w:before="100"/>
        <w:ind w:left="867"/>
      </w:pPr>
      <w:r>
        <w:rPr>
          <w:color w:val="1F497C"/>
        </w:rPr>
        <w:t>BEHAVIORAL EXPECTATIONS</w:t>
      </w:r>
    </w:p>
    <w:p>
      <w:pPr>
        <w:pStyle w:val="BodyText"/>
        <w:spacing w:before="245"/>
        <w:ind w:left="867" w:right="219"/>
        <w:jc w:val="both"/>
      </w:pPr>
      <w:r>
        <w:rPr/>
        <w:t>Students</w:t>
      </w:r>
      <w:r>
        <w:rPr>
          <w:spacing w:val="-13"/>
        </w:rPr>
        <w:t> </w:t>
      </w:r>
      <w:r>
        <w:rPr/>
        <w:t>in</w:t>
      </w:r>
      <w:r>
        <w:rPr>
          <w:spacing w:val="-13"/>
        </w:rPr>
        <w:t> </w:t>
      </w:r>
      <w:r>
        <w:rPr/>
        <w:t>the</w:t>
      </w:r>
      <w:r>
        <w:rPr>
          <w:spacing w:val="-12"/>
        </w:rPr>
        <w:t> </w:t>
      </w:r>
      <w:r>
        <w:rPr/>
        <w:t>MSW</w:t>
      </w:r>
      <w:r>
        <w:rPr>
          <w:spacing w:val="-13"/>
        </w:rPr>
        <w:t> </w:t>
      </w:r>
      <w:r>
        <w:rPr/>
        <w:t>program</w:t>
      </w:r>
      <w:r>
        <w:rPr>
          <w:spacing w:val="-12"/>
        </w:rPr>
        <w:t> </w:t>
      </w:r>
      <w:r>
        <w:rPr/>
        <w:t>are</w:t>
      </w:r>
      <w:r>
        <w:rPr>
          <w:spacing w:val="-13"/>
        </w:rPr>
        <w:t> </w:t>
      </w:r>
      <w:r>
        <w:rPr/>
        <w:t>expected</w:t>
      </w:r>
      <w:r>
        <w:rPr>
          <w:spacing w:val="-13"/>
        </w:rPr>
        <w:t> </w:t>
      </w:r>
      <w:r>
        <w:rPr/>
        <w:t>to</w:t>
      </w:r>
      <w:r>
        <w:rPr>
          <w:spacing w:val="-12"/>
        </w:rPr>
        <w:t> </w:t>
      </w:r>
      <w:r>
        <w:rPr/>
        <w:t>conform</w:t>
      </w:r>
      <w:r>
        <w:rPr>
          <w:spacing w:val="-13"/>
        </w:rPr>
        <w:t> </w:t>
      </w:r>
      <w:r>
        <w:rPr/>
        <w:t>to</w:t>
      </w:r>
      <w:r>
        <w:rPr>
          <w:spacing w:val="-12"/>
        </w:rPr>
        <w:t> </w:t>
      </w:r>
      <w:r>
        <w:rPr/>
        <w:t>the</w:t>
      </w:r>
      <w:r>
        <w:rPr>
          <w:spacing w:val="-13"/>
        </w:rPr>
        <w:t> </w:t>
      </w:r>
      <w:r>
        <w:rPr/>
        <w:t>following</w:t>
      </w:r>
      <w:r>
        <w:rPr>
          <w:spacing w:val="-13"/>
        </w:rPr>
        <w:t> </w:t>
      </w:r>
      <w:r>
        <w:rPr/>
        <w:t>expectations.</w:t>
      </w:r>
      <w:r>
        <w:rPr>
          <w:spacing w:val="-12"/>
        </w:rPr>
        <w:t> </w:t>
      </w:r>
      <w:r>
        <w:rPr/>
        <w:t>Failure</w:t>
      </w:r>
      <w:r>
        <w:rPr>
          <w:spacing w:val="-13"/>
        </w:rPr>
        <w:t> </w:t>
      </w:r>
      <w:r>
        <w:rPr/>
        <w:t>to</w:t>
      </w:r>
      <w:r>
        <w:rPr>
          <w:spacing w:val="-12"/>
        </w:rPr>
        <w:t> </w:t>
      </w:r>
      <w:r>
        <w:rPr/>
        <w:t>adhere the following expectations may result in disciplinary action up to an including expulsion from the program. Students in the MSW Program at the University of Memphis</w:t>
      </w:r>
      <w:r>
        <w:rPr>
          <w:spacing w:val="-5"/>
        </w:rPr>
        <w:t> </w:t>
      </w:r>
      <w:r>
        <w:rPr/>
        <w:t>will:</w:t>
      </w:r>
    </w:p>
    <w:p>
      <w:pPr>
        <w:pStyle w:val="BodyText"/>
        <w:spacing w:before="10"/>
        <w:rPr>
          <w:sz w:val="22"/>
        </w:rPr>
      </w:pPr>
    </w:p>
    <w:p>
      <w:pPr>
        <w:pStyle w:val="ListParagraph"/>
        <w:numPr>
          <w:ilvl w:val="1"/>
          <w:numId w:val="15"/>
        </w:numPr>
        <w:tabs>
          <w:tab w:pos="1587" w:val="left" w:leader="none"/>
          <w:tab w:pos="1588" w:val="left" w:leader="none"/>
        </w:tabs>
        <w:spacing w:line="240" w:lineRule="auto" w:before="1" w:after="0"/>
        <w:ind w:left="1588" w:right="0" w:hanging="360"/>
        <w:jc w:val="left"/>
        <w:rPr>
          <w:rFonts w:ascii="Symbol" w:hAnsi="Symbol"/>
          <w:sz w:val="24"/>
        </w:rPr>
      </w:pPr>
      <w:r>
        <w:rPr>
          <w:sz w:val="24"/>
        </w:rPr>
        <w:t>Adhere to the honor statement signed upon entering the</w:t>
      </w:r>
      <w:r>
        <w:rPr>
          <w:spacing w:val="-1"/>
          <w:sz w:val="24"/>
        </w:rPr>
        <w:t> </w:t>
      </w:r>
      <w:r>
        <w:rPr>
          <w:sz w:val="24"/>
        </w:rPr>
        <w:t>program.</w:t>
      </w:r>
    </w:p>
    <w:p>
      <w:pPr>
        <w:pStyle w:val="ListParagraph"/>
        <w:numPr>
          <w:ilvl w:val="1"/>
          <w:numId w:val="15"/>
        </w:numPr>
        <w:tabs>
          <w:tab w:pos="1588" w:val="left" w:leader="none"/>
        </w:tabs>
        <w:spacing w:line="259" w:lineRule="auto" w:before="20" w:after="0"/>
        <w:ind w:left="1588" w:right="334" w:hanging="360"/>
        <w:jc w:val="both"/>
        <w:rPr>
          <w:rFonts w:ascii="Symbol" w:hAnsi="Symbol"/>
          <w:sz w:val="24"/>
        </w:rPr>
      </w:pPr>
      <w:r>
        <w:rPr>
          <w:sz w:val="24"/>
        </w:rPr>
        <w:t>Understand that documented plagiarism and other forms of academic dishonesty may result in with sanctions ranging from a grade of “0” for the assignment, to a grade of “F” for the course, to recommending expulsion from the MSW</w:t>
      </w:r>
      <w:r>
        <w:rPr>
          <w:spacing w:val="-1"/>
          <w:sz w:val="24"/>
        </w:rPr>
        <w:t> </w:t>
      </w:r>
      <w:r>
        <w:rPr>
          <w:sz w:val="24"/>
        </w:rPr>
        <w:t>program.</w:t>
      </w:r>
    </w:p>
    <w:p>
      <w:pPr>
        <w:pStyle w:val="ListParagraph"/>
        <w:numPr>
          <w:ilvl w:val="1"/>
          <w:numId w:val="15"/>
        </w:numPr>
        <w:tabs>
          <w:tab w:pos="1587" w:val="left" w:leader="none"/>
          <w:tab w:pos="1588" w:val="left" w:leader="none"/>
        </w:tabs>
        <w:spacing w:line="240" w:lineRule="auto" w:before="3" w:after="0"/>
        <w:ind w:left="1588" w:right="0" w:hanging="360"/>
        <w:jc w:val="left"/>
        <w:rPr>
          <w:rFonts w:ascii="Symbol" w:hAnsi="Symbol"/>
          <w:sz w:val="24"/>
        </w:rPr>
      </w:pPr>
      <w:r>
        <w:rPr>
          <w:sz w:val="24"/>
        </w:rPr>
        <w:t>Promote a positive learning environment for</w:t>
      </w:r>
      <w:r>
        <w:rPr>
          <w:spacing w:val="-2"/>
          <w:sz w:val="24"/>
        </w:rPr>
        <w:t> </w:t>
      </w:r>
      <w:r>
        <w:rPr>
          <w:sz w:val="24"/>
        </w:rPr>
        <w:t>all.</w:t>
      </w:r>
    </w:p>
    <w:p>
      <w:pPr>
        <w:pStyle w:val="ListParagraph"/>
        <w:numPr>
          <w:ilvl w:val="1"/>
          <w:numId w:val="15"/>
        </w:numPr>
        <w:tabs>
          <w:tab w:pos="1587" w:val="left" w:leader="none"/>
          <w:tab w:pos="1588" w:val="left" w:leader="none"/>
        </w:tabs>
        <w:spacing w:line="240" w:lineRule="auto" w:before="21" w:after="0"/>
        <w:ind w:left="1588" w:right="0" w:hanging="360"/>
        <w:jc w:val="left"/>
        <w:rPr>
          <w:rFonts w:ascii="Symbol" w:hAnsi="Symbol"/>
          <w:sz w:val="24"/>
        </w:rPr>
      </w:pPr>
      <w:r>
        <w:rPr>
          <w:sz w:val="24"/>
        </w:rPr>
        <w:t>Adhere to the NASW Code of</w:t>
      </w:r>
      <w:r>
        <w:rPr>
          <w:spacing w:val="-1"/>
          <w:sz w:val="24"/>
        </w:rPr>
        <w:t> </w:t>
      </w:r>
      <w:r>
        <w:rPr>
          <w:sz w:val="24"/>
        </w:rPr>
        <w:t>Ethics.</w:t>
      </w:r>
    </w:p>
    <w:p>
      <w:pPr>
        <w:pStyle w:val="ListParagraph"/>
        <w:numPr>
          <w:ilvl w:val="1"/>
          <w:numId w:val="15"/>
        </w:numPr>
        <w:tabs>
          <w:tab w:pos="1587" w:val="left" w:leader="none"/>
          <w:tab w:pos="1588" w:val="left" w:leader="none"/>
        </w:tabs>
        <w:spacing w:line="240" w:lineRule="auto" w:before="25" w:after="0"/>
        <w:ind w:left="1588" w:right="0" w:hanging="360"/>
        <w:jc w:val="left"/>
        <w:rPr>
          <w:rFonts w:ascii="Symbol" w:hAnsi="Symbol"/>
          <w:sz w:val="24"/>
        </w:rPr>
      </w:pPr>
      <w:r>
        <w:rPr>
          <w:sz w:val="24"/>
        </w:rPr>
        <w:t>Respect diversity and</w:t>
      </w:r>
      <w:r>
        <w:rPr>
          <w:spacing w:val="-2"/>
          <w:sz w:val="24"/>
        </w:rPr>
        <w:t> </w:t>
      </w:r>
      <w:r>
        <w:rPr>
          <w:sz w:val="24"/>
        </w:rPr>
        <w:t>difference.</w:t>
      </w:r>
    </w:p>
    <w:p>
      <w:pPr>
        <w:pStyle w:val="ListParagraph"/>
        <w:numPr>
          <w:ilvl w:val="1"/>
          <w:numId w:val="15"/>
        </w:numPr>
        <w:tabs>
          <w:tab w:pos="1587" w:val="left" w:leader="none"/>
          <w:tab w:pos="1588" w:val="left" w:leader="none"/>
        </w:tabs>
        <w:spacing w:line="240" w:lineRule="auto" w:before="21" w:after="0"/>
        <w:ind w:left="1588" w:right="0" w:hanging="360"/>
        <w:jc w:val="left"/>
        <w:rPr>
          <w:rFonts w:ascii="Symbol" w:hAnsi="Symbol"/>
          <w:sz w:val="24"/>
        </w:rPr>
      </w:pPr>
      <w:r>
        <w:rPr>
          <w:sz w:val="24"/>
        </w:rPr>
        <w:t>Respect faculty, staff, and other</w:t>
      </w:r>
      <w:r>
        <w:rPr>
          <w:spacing w:val="-1"/>
          <w:sz w:val="24"/>
        </w:rPr>
        <w:t> </w:t>
      </w:r>
      <w:r>
        <w:rPr>
          <w:sz w:val="24"/>
        </w:rPr>
        <w:t>students.</w:t>
      </w:r>
    </w:p>
    <w:p>
      <w:pPr>
        <w:pStyle w:val="ListParagraph"/>
        <w:numPr>
          <w:ilvl w:val="1"/>
          <w:numId w:val="15"/>
        </w:numPr>
        <w:tabs>
          <w:tab w:pos="1588" w:val="left" w:leader="none"/>
        </w:tabs>
        <w:spacing w:line="256" w:lineRule="auto" w:before="25" w:after="0"/>
        <w:ind w:left="1588" w:right="334" w:hanging="360"/>
        <w:jc w:val="both"/>
        <w:rPr>
          <w:rFonts w:ascii="Symbol" w:hAnsi="Symbol"/>
          <w:sz w:val="24"/>
        </w:rPr>
      </w:pPr>
      <w:r>
        <w:rPr>
          <w:sz w:val="24"/>
        </w:rPr>
        <w:t>Behave with civility at all times in oral and written communication at the University, field placement,</w:t>
      </w:r>
      <w:r>
        <w:rPr>
          <w:spacing w:val="-12"/>
          <w:sz w:val="24"/>
        </w:rPr>
        <w:t> </w:t>
      </w:r>
      <w:r>
        <w:rPr>
          <w:sz w:val="24"/>
        </w:rPr>
        <w:t>sponsored</w:t>
      </w:r>
      <w:r>
        <w:rPr>
          <w:spacing w:val="-12"/>
          <w:sz w:val="24"/>
        </w:rPr>
        <w:t> </w:t>
      </w:r>
      <w:r>
        <w:rPr>
          <w:sz w:val="24"/>
        </w:rPr>
        <w:t>events</w:t>
      </w:r>
      <w:r>
        <w:rPr>
          <w:spacing w:val="-11"/>
          <w:sz w:val="24"/>
        </w:rPr>
        <w:t> </w:t>
      </w:r>
      <w:r>
        <w:rPr>
          <w:sz w:val="24"/>
        </w:rPr>
        <w:t>by</w:t>
      </w:r>
      <w:r>
        <w:rPr>
          <w:spacing w:val="-12"/>
          <w:sz w:val="24"/>
        </w:rPr>
        <w:t> </w:t>
      </w:r>
      <w:r>
        <w:rPr>
          <w:sz w:val="24"/>
        </w:rPr>
        <w:t>the</w:t>
      </w:r>
      <w:r>
        <w:rPr>
          <w:spacing w:val="-11"/>
          <w:sz w:val="24"/>
        </w:rPr>
        <w:t> </w:t>
      </w:r>
      <w:r>
        <w:rPr>
          <w:sz w:val="24"/>
        </w:rPr>
        <w:t>university</w:t>
      </w:r>
      <w:r>
        <w:rPr>
          <w:spacing w:val="-12"/>
          <w:sz w:val="24"/>
        </w:rPr>
        <w:t> </w:t>
      </w:r>
      <w:r>
        <w:rPr>
          <w:sz w:val="24"/>
        </w:rPr>
        <w:t>and/or</w:t>
      </w:r>
      <w:r>
        <w:rPr>
          <w:spacing w:val="-12"/>
          <w:sz w:val="24"/>
        </w:rPr>
        <w:t> </w:t>
      </w:r>
      <w:r>
        <w:rPr>
          <w:sz w:val="24"/>
        </w:rPr>
        <w:t>program,</w:t>
      </w:r>
      <w:r>
        <w:rPr>
          <w:spacing w:val="-11"/>
          <w:sz w:val="24"/>
        </w:rPr>
        <w:t> </w:t>
      </w:r>
      <w:r>
        <w:rPr>
          <w:sz w:val="24"/>
        </w:rPr>
        <w:t>and</w:t>
      </w:r>
      <w:r>
        <w:rPr>
          <w:spacing w:val="-12"/>
          <w:sz w:val="24"/>
        </w:rPr>
        <w:t> </w:t>
      </w:r>
      <w:r>
        <w:rPr>
          <w:sz w:val="24"/>
        </w:rPr>
        <w:t>in</w:t>
      </w:r>
      <w:r>
        <w:rPr>
          <w:spacing w:val="-11"/>
          <w:sz w:val="24"/>
        </w:rPr>
        <w:t> </w:t>
      </w:r>
      <w:r>
        <w:rPr>
          <w:sz w:val="24"/>
        </w:rPr>
        <w:t>social</w:t>
      </w:r>
      <w:r>
        <w:rPr>
          <w:spacing w:val="-12"/>
          <w:sz w:val="24"/>
        </w:rPr>
        <w:t> </w:t>
      </w:r>
      <w:r>
        <w:rPr>
          <w:sz w:val="24"/>
        </w:rPr>
        <w:t>media</w:t>
      </w:r>
      <w:r>
        <w:rPr>
          <w:spacing w:val="-12"/>
          <w:sz w:val="24"/>
        </w:rPr>
        <w:t> </w:t>
      </w:r>
      <w:r>
        <w:rPr>
          <w:sz w:val="24"/>
        </w:rPr>
        <w:t>(and</w:t>
      </w:r>
      <w:r>
        <w:rPr>
          <w:spacing w:val="-11"/>
          <w:sz w:val="24"/>
        </w:rPr>
        <w:t> </w:t>
      </w:r>
      <w:r>
        <w:rPr>
          <w:sz w:val="24"/>
        </w:rPr>
        <w:t>other unanticipated</w:t>
      </w:r>
      <w:r>
        <w:rPr>
          <w:spacing w:val="-1"/>
          <w:sz w:val="24"/>
        </w:rPr>
        <w:t> </w:t>
      </w:r>
      <w:r>
        <w:rPr>
          <w:sz w:val="24"/>
        </w:rPr>
        <w:t>situations).</w:t>
      </w:r>
    </w:p>
    <w:p>
      <w:pPr>
        <w:pStyle w:val="ListParagraph"/>
        <w:numPr>
          <w:ilvl w:val="1"/>
          <w:numId w:val="15"/>
        </w:numPr>
        <w:tabs>
          <w:tab w:pos="1588" w:val="left" w:leader="none"/>
        </w:tabs>
        <w:spacing w:line="259" w:lineRule="auto" w:before="7" w:after="0"/>
        <w:ind w:left="1588" w:right="334" w:hanging="360"/>
        <w:jc w:val="both"/>
        <w:rPr>
          <w:rFonts w:ascii="Symbol" w:hAnsi="Symbol"/>
          <w:sz w:val="24"/>
        </w:rPr>
      </w:pPr>
      <w:r>
        <w:rPr>
          <w:sz w:val="24"/>
        </w:rPr>
        <w:t>Maintain professional behavior when interacting with students, faculty, staff, clients, and colleagues.</w:t>
      </w:r>
    </w:p>
    <w:p>
      <w:pPr>
        <w:pStyle w:val="ListParagraph"/>
        <w:numPr>
          <w:ilvl w:val="1"/>
          <w:numId w:val="15"/>
        </w:numPr>
        <w:tabs>
          <w:tab w:pos="1588" w:val="left" w:leader="none"/>
        </w:tabs>
        <w:spacing w:line="259" w:lineRule="auto" w:before="0" w:after="0"/>
        <w:ind w:left="1588" w:right="333" w:hanging="360"/>
        <w:jc w:val="both"/>
        <w:rPr>
          <w:rFonts w:ascii="Symbol" w:hAnsi="Symbol"/>
          <w:sz w:val="24"/>
        </w:rPr>
      </w:pPr>
      <w:r>
        <w:rPr>
          <w:sz w:val="24"/>
        </w:rPr>
        <w:t>Understand and agree that bullying and intimidation (in person, online, through email, or in any form or medium) in the form of taunting, threats, name-calling, and any other manner of bullying and/or intimidation will not be tolerated. Students engaging in any form of bullying and intimidation against any person (faculty, staff, or students) will be subject to disciplinary action</w:t>
      </w:r>
      <w:r>
        <w:rPr>
          <w:spacing w:val="-7"/>
          <w:sz w:val="24"/>
        </w:rPr>
        <w:t> </w:t>
      </w:r>
      <w:r>
        <w:rPr>
          <w:sz w:val="24"/>
        </w:rPr>
        <w:t>resulting</w:t>
      </w:r>
      <w:r>
        <w:rPr>
          <w:spacing w:val="-6"/>
          <w:sz w:val="24"/>
        </w:rPr>
        <w:t> </w:t>
      </w:r>
      <w:r>
        <w:rPr>
          <w:sz w:val="24"/>
        </w:rPr>
        <w:t>in</w:t>
      </w:r>
      <w:r>
        <w:rPr>
          <w:spacing w:val="-7"/>
          <w:sz w:val="24"/>
        </w:rPr>
        <w:t> </w:t>
      </w:r>
      <w:r>
        <w:rPr>
          <w:sz w:val="24"/>
        </w:rPr>
        <w:t>sanctions</w:t>
      </w:r>
      <w:r>
        <w:rPr>
          <w:spacing w:val="-6"/>
          <w:sz w:val="24"/>
        </w:rPr>
        <w:t> </w:t>
      </w:r>
      <w:r>
        <w:rPr>
          <w:sz w:val="24"/>
        </w:rPr>
        <w:t>ranging</w:t>
      </w:r>
      <w:r>
        <w:rPr>
          <w:spacing w:val="-6"/>
          <w:sz w:val="24"/>
        </w:rPr>
        <w:t> </w:t>
      </w:r>
      <w:r>
        <w:rPr>
          <w:sz w:val="24"/>
        </w:rPr>
        <w:t>from</w:t>
      </w:r>
      <w:r>
        <w:rPr>
          <w:spacing w:val="-7"/>
          <w:sz w:val="24"/>
        </w:rPr>
        <w:t> </w:t>
      </w:r>
      <w:r>
        <w:rPr>
          <w:sz w:val="24"/>
        </w:rPr>
        <w:t>verbal</w:t>
      </w:r>
      <w:r>
        <w:rPr>
          <w:spacing w:val="-6"/>
          <w:sz w:val="24"/>
        </w:rPr>
        <w:t> </w:t>
      </w:r>
      <w:r>
        <w:rPr>
          <w:sz w:val="24"/>
        </w:rPr>
        <w:t>reprimand</w:t>
      </w:r>
      <w:r>
        <w:rPr>
          <w:spacing w:val="-7"/>
          <w:sz w:val="24"/>
        </w:rPr>
        <w:t> </w:t>
      </w:r>
      <w:r>
        <w:rPr>
          <w:sz w:val="24"/>
        </w:rPr>
        <w:t>up</w:t>
      </w:r>
      <w:r>
        <w:rPr>
          <w:spacing w:val="-6"/>
          <w:sz w:val="24"/>
        </w:rPr>
        <w:t> </w:t>
      </w:r>
      <w:r>
        <w:rPr>
          <w:sz w:val="24"/>
        </w:rPr>
        <w:t>to</w:t>
      </w:r>
      <w:r>
        <w:rPr>
          <w:spacing w:val="-6"/>
          <w:sz w:val="24"/>
        </w:rPr>
        <w:t> </w:t>
      </w:r>
      <w:r>
        <w:rPr>
          <w:sz w:val="24"/>
        </w:rPr>
        <w:t>and</w:t>
      </w:r>
      <w:r>
        <w:rPr>
          <w:spacing w:val="-7"/>
          <w:sz w:val="24"/>
        </w:rPr>
        <w:t> </w:t>
      </w:r>
      <w:r>
        <w:rPr>
          <w:sz w:val="24"/>
        </w:rPr>
        <w:t>including</w:t>
      </w:r>
      <w:r>
        <w:rPr>
          <w:spacing w:val="-6"/>
          <w:sz w:val="24"/>
        </w:rPr>
        <w:t> </w:t>
      </w:r>
      <w:r>
        <w:rPr>
          <w:sz w:val="24"/>
        </w:rPr>
        <w:t>dismissal</w:t>
      </w:r>
      <w:r>
        <w:rPr>
          <w:spacing w:val="-6"/>
          <w:sz w:val="24"/>
        </w:rPr>
        <w:t> </w:t>
      </w:r>
      <w:r>
        <w:rPr>
          <w:sz w:val="24"/>
        </w:rPr>
        <w:t>from the MSW program depending on the severity or number of the</w:t>
      </w:r>
      <w:r>
        <w:rPr>
          <w:spacing w:val="-4"/>
          <w:sz w:val="24"/>
        </w:rPr>
        <w:t> </w:t>
      </w:r>
      <w:r>
        <w:rPr>
          <w:sz w:val="24"/>
        </w:rPr>
        <w:t>offense(s).</w:t>
      </w:r>
    </w:p>
    <w:p>
      <w:pPr>
        <w:pStyle w:val="ListParagraph"/>
        <w:numPr>
          <w:ilvl w:val="1"/>
          <w:numId w:val="15"/>
        </w:numPr>
        <w:tabs>
          <w:tab w:pos="1587" w:val="left" w:leader="none"/>
          <w:tab w:pos="1588" w:val="left" w:leader="none"/>
        </w:tabs>
        <w:spacing w:line="305" w:lineRule="exact" w:before="0" w:after="0"/>
        <w:ind w:left="1588" w:right="0" w:hanging="360"/>
        <w:jc w:val="left"/>
        <w:rPr>
          <w:rFonts w:ascii="Symbol" w:hAnsi="Symbol"/>
          <w:sz w:val="24"/>
        </w:rPr>
      </w:pPr>
      <w:r>
        <w:rPr>
          <w:sz w:val="24"/>
        </w:rPr>
        <w:t>Understand that the program critiques the structures of oppression and</w:t>
      </w:r>
      <w:r>
        <w:rPr>
          <w:spacing w:val="-3"/>
          <w:sz w:val="24"/>
        </w:rPr>
        <w:t> </w:t>
      </w:r>
      <w:r>
        <w:rPr>
          <w:sz w:val="24"/>
        </w:rPr>
        <w:t>privilege.</w:t>
      </w:r>
    </w:p>
    <w:p>
      <w:pPr>
        <w:pStyle w:val="ListParagraph"/>
        <w:numPr>
          <w:ilvl w:val="1"/>
          <w:numId w:val="15"/>
        </w:numPr>
        <w:tabs>
          <w:tab w:pos="1588" w:val="left" w:leader="none"/>
        </w:tabs>
        <w:spacing w:line="256" w:lineRule="auto" w:before="23" w:after="0"/>
        <w:ind w:left="1588" w:right="334" w:hanging="360"/>
        <w:jc w:val="both"/>
        <w:rPr>
          <w:rFonts w:ascii="Symbol" w:hAnsi="Symbol"/>
          <w:sz w:val="24"/>
        </w:rPr>
      </w:pPr>
      <w:r>
        <w:rPr>
          <w:sz w:val="24"/>
        </w:rPr>
        <w:t>Understand that the program and professors will expose students to difficult, complex, and controversial topics and students will be expected to participate in readings and discussions on these</w:t>
      </w:r>
      <w:r>
        <w:rPr>
          <w:spacing w:val="-1"/>
          <w:sz w:val="24"/>
        </w:rPr>
        <w:t> </w:t>
      </w:r>
      <w:r>
        <w:rPr>
          <w:sz w:val="24"/>
        </w:rPr>
        <w:t>topics.</w:t>
      </w:r>
    </w:p>
    <w:p>
      <w:pPr>
        <w:spacing w:after="0" w:line="256" w:lineRule="auto"/>
        <w:jc w:val="both"/>
        <w:rPr>
          <w:rFonts w:ascii="Symbol" w:hAnsi="Symbol"/>
          <w:sz w:val="24"/>
        </w:rPr>
        <w:sectPr>
          <w:pgSz w:w="12240" w:h="15840"/>
          <w:pgMar w:header="0" w:footer="992" w:top="1380" w:bottom="1180" w:left="300" w:right="920"/>
        </w:sectPr>
      </w:pPr>
    </w:p>
    <w:p>
      <w:pPr>
        <w:pStyle w:val="ListParagraph"/>
        <w:numPr>
          <w:ilvl w:val="1"/>
          <w:numId w:val="15"/>
        </w:numPr>
        <w:tabs>
          <w:tab w:pos="1587" w:val="left" w:leader="none"/>
          <w:tab w:pos="1588" w:val="left" w:leader="none"/>
        </w:tabs>
        <w:spacing w:line="259" w:lineRule="auto" w:before="75" w:after="0"/>
        <w:ind w:left="1588" w:right="334" w:hanging="360"/>
        <w:jc w:val="left"/>
        <w:rPr>
          <w:rFonts w:ascii="Symbol" w:hAnsi="Symbol"/>
          <w:sz w:val="24"/>
        </w:rPr>
      </w:pPr>
      <w:r>
        <w:rPr>
          <w:sz w:val="24"/>
        </w:rPr>
        <w:t>Understand that this is a university; ideas will be critiqued. No idea is exempt </w:t>
      </w:r>
      <w:r>
        <w:rPr>
          <w:spacing w:val="-4"/>
          <w:sz w:val="24"/>
        </w:rPr>
        <w:t>from </w:t>
      </w:r>
      <w:r>
        <w:rPr>
          <w:sz w:val="24"/>
        </w:rPr>
        <w:t>examination or protected from</w:t>
      </w:r>
      <w:r>
        <w:rPr>
          <w:spacing w:val="-1"/>
          <w:sz w:val="24"/>
        </w:rPr>
        <w:t> </w:t>
      </w:r>
      <w:r>
        <w:rPr>
          <w:sz w:val="24"/>
        </w:rPr>
        <w:t>criticism.</w:t>
      </w:r>
    </w:p>
    <w:p>
      <w:pPr>
        <w:pStyle w:val="BodyText"/>
        <w:rPr>
          <w:sz w:val="28"/>
        </w:rPr>
      </w:pPr>
    </w:p>
    <w:p>
      <w:pPr>
        <w:pStyle w:val="BodyText"/>
        <w:spacing w:before="3"/>
        <w:rPr>
          <w:sz w:val="28"/>
        </w:rPr>
      </w:pPr>
    </w:p>
    <w:p>
      <w:pPr>
        <w:pStyle w:val="Heading2"/>
        <w:jc w:val="both"/>
      </w:pPr>
      <w:r>
        <w:rPr>
          <w:color w:val="1F497C"/>
        </w:rPr>
        <w:t>DISABILITIES, SEXUAL HARASSMENT AND EQUAL</w:t>
      </w:r>
      <w:r>
        <w:rPr>
          <w:color w:val="1F497C"/>
          <w:spacing w:val="-6"/>
        </w:rPr>
        <w:t> </w:t>
      </w:r>
      <w:r>
        <w:rPr>
          <w:color w:val="1F497C"/>
        </w:rPr>
        <w:t>OPPORTUNITY</w:t>
      </w:r>
    </w:p>
    <w:p>
      <w:pPr>
        <w:pStyle w:val="BodyText"/>
        <w:spacing w:before="240"/>
        <w:ind w:left="865" w:right="213"/>
        <w:jc w:val="both"/>
      </w:pPr>
      <w:r>
        <w:rPr/>
        <w:t>Students with disabilities are encouraged to notify </w:t>
      </w:r>
      <w:r>
        <w:rPr>
          <w:color w:val="0000FF"/>
          <w:u w:val="single" w:color="0000FF"/>
        </w:rPr>
        <w:t>Disability Resources for Students </w:t>
      </w:r>
      <w:r>
        <w:rPr/>
        <w:t>for reasonable accommodations.</w:t>
      </w:r>
    </w:p>
    <w:p>
      <w:pPr>
        <w:pStyle w:val="BodyText"/>
        <w:spacing w:before="240"/>
        <w:ind w:left="863" w:right="211"/>
        <w:jc w:val="both"/>
      </w:pPr>
      <w:r>
        <w:rPr/>
        <w:t>Harassment is reprehensible and will not be tolerated by the University. It subverts the mission of the University and threatens the careers, educational experience and well-being of students, faculty and staff. Incidents involving sexual harassment or racial harassment have no place within the University. In both obvious and subtle ways, even a suggestion of sexual or racial harassment is destructive to individual students, faculty, staff and the academic community as a whole. When through fear or reprisal, a student, staff member, or faculty member submits or is pressured to submit to unwanted sexual attention, the University's ability to carry out its mission is undermined.</w:t>
      </w:r>
    </w:p>
    <w:p>
      <w:pPr>
        <w:pStyle w:val="BodyText"/>
        <w:spacing w:before="238"/>
        <w:ind w:left="863" w:right="214"/>
        <w:jc w:val="both"/>
      </w:pPr>
      <w:r>
        <w:rPr/>
        <w:t>While sexual harassment most often takes place in situations of a power differential between the persons involved, the University also recognizes that sexual harassment may occur between persons of the same University status. The University will not tolerate such harassment between or among members of the University that creates an unacceptable work or educational environment.</w:t>
      </w:r>
    </w:p>
    <w:p>
      <w:pPr>
        <w:pStyle w:val="BodyText"/>
        <w:spacing w:before="240"/>
        <w:ind w:left="863" w:right="214"/>
        <w:jc w:val="both"/>
      </w:pPr>
      <w:r>
        <w:rPr/>
        <w:t>Sexual harassment and racial harassment have been held to constitute forms of discrimination prohibited</w:t>
      </w:r>
      <w:r>
        <w:rPr>
          <w:spacing w:val="-9"/>
        </w:rPr>
        <w:t> </w:t>
      </w:r>
      <w:r>
        <w:rPr/>
        <w:t>by</w:t>
      </w:r>
      <w:r>
        <w:rPr>
          <w:spacing w:val="-8"/>
        </w:rPr>
        <w:t> </w:t>
      </w:r>
      <w:r>
        <w:rPr/>
        <w:t>Title</w:t>
      </w:r>
      <w:r>
        <w:rPr>
          <w:spacing w:val="-9"/>
        </w:rPr>
        <w:t> </w:t>
      </w:r>
      <w:r>
        <w:rPr/>
        <w:t>VI,</w:t>
      </w:r>
      <w:r>
        <w:rPr>
          <w:spacing w:val="-8"/>
        </w:rPr>
        <w:t> </w:t>
      </w:r>
      <w:r>
        <w:rPr/>
        <w:t>Title</w:t>
      </w:r>
      <w:r>
        <w:rPr>
          <w:spacing w:val="-8"/>
        </w:rPr>
        <w:t> </w:t>
      </w:r>
      <w:r>
        <w:rPr/>
        <w:t>VII</w:t>
      </w:r>
      <w:r>
        <w:rPr>
          <w:spacing w:val="-9"/>
        </w:rPr>
        <w:t> </w:t>
      </w:r>
      <w:r>
        <w:rPr/>
        <w:t>of</w:t>
      </w:r>
      <w:r>
        <w:rPr>
          <w:spacing w:val="-8"/>
        </w:rPr>
        <w:t> </w:t>
      </w:r>
      <w:r>
        <w:rPr/>
        <w:t>the</w:t>
      </w:r>
      <w:r>
        <w:rPr>
          <w:spacing w:val="-8"/>
        </w:rPr>
        <w:t> </w:t>
      </w:r>
      <w:r>
        <w:rPr/>
        <w:t>Civil</w:t>
      </w:r>
      <w:r>
        <w:rPr>
          <w:spacing w:val="-9"/>
        </w:rPr>
        <w:t> </w:t>
      </w:r>
      <w:r>
        <w:rPr/>
        <w:t>Rights</w:t>
      </w:r>
      <w:r>
        <w:rPr>
          <w:spacing w:val="-8"/>
        </w:rPr>
        <w:t> </w:t>
      </w:r>
      <w:r>
        <w:rPr/>
        <w:t>Act</w:t>
      </w:r>
      <w:r>
        <w:rPr>
          <w:spacing w:val="-8"/>
        </w:rPr>
        <w:t> </w:t>
      </w:r>
      <w:r>
        <w:rPr/>
        <w:t>of</w:t>
      </w:r>
      <w:r>
        <w:rPr>
          <w:spacing w:val="-9"/>
        </w:rPr>
        <w:t> </w:t>
      </w:r>
      <w:r>
        <w:rPr/>
        <w:t>1964,</w:t>
      </w:r>
      <w:r>
        <w:rPr>
          <w:spacing w:val="-8"/>
        </w:rPr>
        <w:t> </w:t>
      </w:r>
      <w:r>
        <w:rPr/>
        <w:t>as</w:t>
      </w:r>
      <w:r>
        <w:rPr>
          <w:spacing w:val="-8"/>
        </w:rPr>
        <w:t> </w:t>
      </w:r>
      <w:r>
        <w:rPr/>
        <w:t>amended</w:t>
      </w:r>
      <w:r>
        <w:rPr>
          <w:spacing w:val="-9"/>
        </w:rPr>
        <w:t> </w:t>
      </w:r>
      <w:r>
        <w:rPr/>
        <w:t>and</w:t>
      </w:r>
      <w:r>
        <w:rPr>
          <w:spacing w:val="-8"/>
        </w:rPr>
        <w:t> </w:t>
      </w:r>
      <w:r>
        <w:rPr/>
        <w:t>Title</w:t>
      </w:r>
      <w:r>
        <w:rPr>
          <w:spacing w:val="-8"/>
        </w:rPr>
        <w:t> </w:t>
      </w:r>
      <w:r>
        <w:rPr/>
        <w:t>IX</w:t>
      </w:r>
      <w:r>
        <w:rPr>
          <w:spacing w:val="-9"/>
        </w:rPr>
        <w:t> </w:t>
      </w:r>
      <w:r>
        <w:rPr/>
        <w:t>of</w:t>
      </w:r>
      <w:r>
        <w:rPr>
          <w:spacing w:val="-8"/>
        </w:rPr>
        <w:t> </w:t>
      </w:r>
      <w:r>
        <w:rPr/>
        <w:t>the</w:t>
      </w:r>
      <w:r>
        <w:rPr>
          <w:spacing w:val="-8"/>
        </w:rPr>
        <w:t> </w:t>
      </w:r>
      <w:r>
        <w:rPr/>
        <w:t>Educational Amendments of 1972. The University may be held liable pursuant to Title VI or Title VII and/or lose federal funds pursuant to Title IX for failure to properly investigate and remedy claims of sexual or racial</w:t>
      </w:r>
      <w:r>
        <w:rPr>
          <w:spacing w:val="-1"/>
        </w:rPr>
        <w:t> </w:t>
      </w:r>
      <w:r>
        <w:rPr/>
        <w:t>harassment.</w:t>
      </w:r>
    </w:p>
    <w:p>
      <w:pPr>
        <w:pStyle w:val="BodyText"/>
        <w:spacing w:before="239"/>
        <w:ind w:left="865" w:right="212"/>
        <w:jc w:val="both"/>
      </w:pPr>
      <w:r>
        <w:rPr/>
        <w:t>The University of Memphis, a Tennessee Board of Regents institution, offers equal opportunity to all persons without regard to race, religion, sex, creed, color, national origin or disability. The University does not discriminate on these bases in recruitment and admission of students or in the operation of its programs and activities, as specified by federal laws and regulations. Designated coordinators for University compliance with Section 504 of the Rehabilitation Act of 1973 and the Americans with Disabilities</w:t>
      </w:r>
      <w:r>
        <w:rPr>
          <w:spacing w:val="-13"/>
        </w:rPr>
        <w:t> </w:t>
      </w:r>
      <w:r>
        <w:rPr/>
        <w:t>Act</w:t>
      </w:r>
      <w:r>
        <w:rPr>
          <w:spacing w:val="-12"/>
        </w:rPr>
        <w:t> </w:t>
      </w:r>
      <w:r>
        <w:rPr/>
        <w:t>of</w:t>
      </w:r>
      <w:r>
        <w:rPr>
          <w:spacing w:val="-12"/>
        </w:rPr>
        <w:t> </w:t>
      </w:r>
      <w:r>
        <w:rPr/>
        <w:t>1990</w:t>
      </w:r>
      <w:r>
        <w:rPr>
          <w:spacing w:val="-13"/>
        </w:rPr>
        <w:t> </w:t>
      </w:r>
      <w:r>
        <w:rPr/>
        <w:t>are</w:t>
      </w:r>
      <w:r>
        <w:rPr>
          <w:spacing w:val="-12"/>
        </w:rPr>
        <w:t> </w:t>
      </w:r>
      <w:r>
        <w:rPr/>
        <w:t>the</w:t>
      </w:r>
      <w:r>
        <w:rPr>
          <w:spacing w:val="-12"/>
        </w:rPr>
        <w:t> </w:t>
      </w:r>
      <w:r>
        <w:rPr/>
        <w:t>Vice</w:t>
      </w:r>
      <w:r>
        <w:rPr>
          <w:spacing w:val="-13"/>
        </w:rPr>
        <w:t> </w:t>
      </w:r>
      <w:r>
        <w:rPr/>
        <w:t>President</w:t>
      </w:r>
      <w:r>
        <w:rPr>
          <w:spacing w:val="-12"/>
        </w:rPr>
        <w:t> </w:t>
      </w:r>
      <w:r>
        <w:rPr/>
        <w:t>for</w:t>
      </w:r>
      <w:r>
        <w:rPr>
          <w:spacing w:val="-12"/>
        </w:rPr>
        <w:t> </w:t>
      </w:r>
      <w:r>
        <w:rPr/>
        <w:t>Student</w:t>
      </w:r>
      <w:r>
        <w:rPr>
          <w:spacing w:val="-13"/>
        </w:rPr>
        <w:t> </w:t>
      </w:r>
      <w:r>
        <w:rPr/>
        <w:t>Affairs</w:t>
      </w:r>
      <w:r>
        <w:rPr>
          <w:spacing w:val="-12"/>
        </w:rPr>
        <w:t> </w:t>
      </w:r>
      <w:r>
        <w:rPr/>
        <w:t>and</w:t>
      </w:r>
      <w:r>
        <w:rPr>
          <w:spacing w:val="-12"/>
        </w:rPr>
        <w:t> </w:t>
      </w:r>
      <w:r>
        <w:rPr/>
        <w:t>the</w:t>
      </w:r>
      <w:r>
        <w:rPr>
          <w:spacing w:val="-13"/>
        </w:rPr>
        <w:t> </w:t>
      </w:r>
      <w:r>
        <w:rPr/>
        <w:t>Equal</w:t>
      </w:r>
      <w:r>
        <w:rPr>
          <w:spacing w:val="-12"/>
        </w:rPr>
        <w:t> </w:t>
      </w:r>
      <w:r>
        <w:rPr/>
        <w:t>Opportunity</w:t>
      </w:r>
      <w:r>
        <w:rPr>
          <w:spacing w:val="-12"/>
        </w:rPr>
        <w:t> </w:t>
      </w:r>
      <w:r>
        <w:rPr/>
        <w:t>Compliance Officer.</w:t>
      </w:r>
      <w:r>
        <w:rPr>
          <w:spacing w:val="-9"/>
        </w:rPr>
        <w:t> </w:t>
      </w:r>
      <w:r>
        <w:rPr/>
        <w:t>Information</w:t>
      </w:r>
      <w:r>
        <w:rPr>
          <w:spacing w:val="-9"/>
        </w:rPr>
        <w:t> </w:t>
      </w:r>
      <w:r>
        <w:rPr/>
        <w:t>in</w:t>
      </w:r>
      <w:r>
        <w:rPr>
          <w:spacing w:val="-8"/>
        </w:rPr>
        <w:t> </w:t>
      </w:r>
      <w:r>
        <w:rPr/>
        <w:t>this</w:t>
      </w:r>
      <w:r>
        <w:rPr>
          <w:spacing w:val="-9"/>
        </w:rPr>
        <w:t> </w:t>
      </w:r>
      <w:r>
        <w:rPr/>
        <w:t>document</w:t>
      </w:r>
      <w:r>
        <w:rPr>
          <w:spacing w:val="-9"/>
        </w:rPr>
        <w:t> </w:t>
      </w:r>
      <w:r>
        <w:rPr/>
        <w:t>will</w:t>
      </w:r>
      <w:r>
        <w:rPr>
          <w:spacing w:val="-8"/>
        </w:rPr>
        <w:t> </w:t>
      </w:r>
      <w:r>
        <w:rPr/>
        <w:t>be</w:t>
      </w:r>
      <w:r>
        <w:rPr>
          <w:spacing w:val="-9"/>
        </w:rPr>
        <w:t> </w:t>
      </w:r>
      <w:r>
        <w:rPr/>
        <w:t>provided</w:t>
      </w:r>
      <w:r>
        <w:rPr>
          <w:spacing w:val="-8"/>
        </w:rPr>
        <w:t> </w:t>
      </w:r>
      <w:r>
        <w:rPr/>
        <w:t>in</w:t>
      </w:r>
      <w:r>
        <w:rPr>
          <w:spacing w:val="-9"/>
        </w:rPr>
        <w:t> </w:t>
      </w:r>
      <w:r>
        <w:rPr/>
        <w:t>alternate</w:t>
      </w:r>
      <w:r>
        <w:rPr>
          <w:spacing w:val="-9"/>
        </w:rPr>
        <w:t> </w:t>
      </w:r>
      <w:r>
        <w:rPr/>
        <w:t>format</w:t>
      </w:r>
      <w:r>
        <w:rPr>
          <w:spacing w:val="-8"/>
        </w:rPr>
        <w:t> </w:t>
      </w:r>
      <w:r>
        <w:rPr/>
        <w:t>upon</w:t>
      </w:r>
      <w:r>
        <w:rPr>
          <w:spacing w:val="-9"/>
        </w:rPr>
        <w:t> </w:t>
      </w:r>
      <w:r>
        <w:rPr/>
        <w:t>request.</w:t>
      </w:r>
      <w:r>
        <w:rPr>
          <w:spacing w:val="-9"/>
        </w:rPr>
        <w:t> </w:t>
      </w:r>
      <w:r>
        <w:rPr/>
        <w:t>The</w:t>
      </w:r>
      <w:r>
        <w:rPr>
          <w:spacing w:val="-8"/>
        </w:rPr>
        <w:t> </w:t>
      </w:r>
      <w:r>
        <w:rPr/>
        <w:t>University of Memphis is an Equal Opportunity/Affirmative Action University. It is committed to education of a non-racially identifiable student</w:t>
      </w:r>
      <w:r>
        <w:rPr>
          <w:spacing w:val="-1"/>
        </w:rPr>
        <w:t> </w:t>
      </w:r>
      <w:r>
        <w:rPr/>
        <w:t>body.</w:t>
      </w:r>
    </w:p>
    <w:p>
      <w:pPr>
        <w:pStyle w:val="BodyText"/>
        <w:rPr>
          <w:sz w:val="28"/>
        </w:rPr>
      </w:pPr>
    </w:p>
    <w:p>
      <w:pPr>
        <w:pStyle w:val="BodyText"/>
        <w:spacing w:before="2"/>
        <w:rPr>
          <w:sz w:val="35"/>
        </w:rPr>
      </w:pPr>
    </w:p>
    <w:p>
      <w:pPr>
        <w:pStyle w:val="Heading2"/>
        <w:jc w:val="both"/>
      </w:pPr>
      <w:r>
        <w:rPr>
          <w:color w:val="1F497C"/>
        </w:rPr>
        <w:t>STUDENTS WITH MISDEMEANOR OR FELONY RECORDS</w:t>
      </w:r>
    </w:p>
    <w:p>
      <w:pPr>
        <w:pStyle w:val="BodyText"/>
        <w:spacing w:line="276" w:lineRule="auto" w:before="240"/>
        <w:ind w:left="863" w:right="241"/>
        <w:jc w:val="both"/>
      </w:pPr>
      <w:r>
        <w:rPr/>
        <w:t>A misdemeanor or felony conviction may impact your internship and employment prospects, because many agencies and employers request criminal records of their prospective interns and hires. In</w:t>
      </w:r>
    </w:p>
    <w:p>
      <w:pPr>
        <w:spacing w:after="0" w:line="276" w:lineRule="auto"/>
        <w:jc w:val="both"/>
        <w:sectPr>
          <w:pgSz w:w="12240" w:h="15840"/>
          <w:pgMar w:header="0" w:footer="992" w:top="1380" w:bottom="1180" w:left="300" w:right="920"/>
        </w:sectPr>
      </w:pPr>
    </w:p>
    <w:p>
      <w:pPr>
        <w:pStyle w:val="BodyText"/>
        <w:spacing w:line="276" w:lineRule="auto" w:before="73"/>
        <w:ind w:left="863" w:right="219"/>
      </w:pPr>
      <w:r>
        <w:rPr/>
        <w:t>addition, a conviction may impact your ability to secure liability insurance as an intern/professional as well as licensure upon graduation from an accredited social work program. Below are the identified practices of the NASW, liability companies, and the Tennessee Board of Social Workers:</w:t>
      </w:r>
    </w:p>
    <w:p>
      <w:pPr>
        <w:pStyle w:val="BodyText"/>
        <w:spacing w:before="3"/>
        <w:rPr>
          <w:sz w:val="27"/>
        </w:rPr>
      </w:pPr>
    </w:p>
    <w:p>
      <w:pPr>
        <w:pStyle w:val="BodyText"/>
        <w:spacing w:line="278" w:lineRule="auto" w:before="1"/>
        <w:ind w:left="863" w:right="446"/>
      </w:pPr>
      <w:r>
        <w:rPr>
          <w:b/>
        </w:rPr>
        <w:t>NASW </w:t>
      </w:r>
      <w:r>
        <w:rPr/>
        <w:t>– A conviction does not prevent a student from being able to apply and be accepted into the NASW.</w:t>
      </w:r>
    </w:p>
    <w:p>
      <w:pPr>
        <w:pStyle w:val="BodyText"/>
        <w:spacing w:before="3"/>
        <w:rPr>
          <w:sz w:val="27"/>
        </w:rPr>
      </w:pPr>
    </w:p>
    <w:p>
      <w:pPr>
        <w:pStyle w:val="BodyText"/>
        <w:spacing w:line="276" w:lineRule="auto"/>
        <w:ind w:left="863" w:right="1450"/>
      </w:pPr>
      <w:r>
        <w:rPr>
          <w:b/>
        </w:rPr>
        <w:t>Liability Insurance </w:t>
      </w:r>
      <w:r>
        <w:rPr/>
        <w:t>- Will consider liability insurance for a student or professional with a felony/misdemeanor conviction on a case by case basis. They do not guarantee approval.</w:t>
      </w:r>
    </w:p>
    <w:p>
      <w:pPr>
        <w:pStyle w:val="BodyText"/>
        <w:spacing w:before="5"/>
        <w:rPr>
          <w:sz w:val="27"/>
        </w:rPr>
      </w:pPr>
    </w:p>
    <w:p>
      <w:pPr>
        <w:pStyle w:val="BodyText"/>
        <w:spacing w:line="278" w:lineRule="auto"/>
        <w:ind w:left="863" w:right="536"/>
      </w:pPr>
      <w:r>
        <w:rPr>
          <w:b/>
        </w:rPr>
        <w:t>TN Board of Social Workers </w:t>
      </w:r>
      <w:r>
        <w:rPr/>
        <w:t>– A student with a conviction must provide a letter of explanation and documents form jurisdiction with disposition indicated. The board will review and consider each application on a case by case basis.</w:t>
      </w:r>
    </w:p>
    <w:p>
      <w:pPr>
        <w:pStyle w:val="BodyText"/>
        <w:rPr>
          <w:sz w:val="28"/>
        </w:rPr>
      </w:pPr>
    </w:p>
    <w:p>
      <w:pPr>
        <w:pStyle w:val="BodyText"/>
        <w:rPr>
          <w:sz w:val="28"/>
        </w:rPr>
      </w:pPr>
    </w:p>
    <w:p>
      <w:pPr>
        <w:pStyle w:val="BodyText"/>
        <w:rPr>
          <w:sz w:val="39"/>
        </w:rPr>
      </w:pPr>
    </w:p>
    <w:p>
      <w:pPr>
        <w:pStyle w:val="Heading2"/>
        <w:ind w:left="863"/>
      </w:pPr>
      <w:r>
        <w:rPr>
          <w:color w:val="1F497C"/>
        </w:rPr>
        <w:t>STUDENT AND PROFESSIONAL ORGANIZATIONS</w:t>
      </w:r>
    </w:p>
    <w:p>
      <w:pPr>
        <w:pStyle w:val="BodyText"/>
        <w:spacing w:before="4"/>
        <w:rPr>
          <w:b/>
          <w:sz w:val="22"/>
        </w:rPr>
      </w:pPr>
    </w:p>
    <w:p>
      <w:pPr>
        <w:spacing w:before="1"/>
        <w:ind w:left="863" w:right="0" w:firstLine="0"/>
        <w:jc w:val="left"/>
        <w:rPr>
          <w:b/>
          <w:sz w:val="24"/>
        </w:rPr>
      </w:pPr>
      <w:r>
        <w:rPr>
          <w:b/>
          <w:color w:val="1F497C"/>
          <w:sz w:val="24"/>
        </w:rPr>
        <w:t>Student Social Work Organization (SSWO)</w:t>
      </w:r>
    </w:p>
    <w:p>
      <w:pPr>
        <w:pStyle w:val="BodyText"/>
        <w:spacing w:before="244"/>
        <w:ind w:left="863" w:right="213"/>
        <w:jc w:val="both"/>
      </w:pPr>
      <w:r>
        <w:rPr/>
        <w:t>The Student Social Work Organization (SSWO) provides students with opportunities to get involved with important social issues, and to foster communication and interaction between students, faculty, and administrators in the School of Social Work. The SSWO coordinates fund raising events, organizes volunteer activities, hosts special events with guest speakers, and sponsors social activities of interest to students.</w:t>
      </w:r>
    </w:p>
    <w:p>
      <w:pPr>
        <w:pStyle w:val="BodyText"/>
        <w:spacing w:before="239"/>
        <w:ind w:left="865"/>
      </w:pPr>
      <w:r>
        <w:rPr/>
        <w:t>Why should you join? SSWO provides opportunities for:</w:t>
      </w:r>
    </w:p>
    <w:p>
      <w:pPr>
        <w:pStyle w:val="ListParagraph"/>
        <w:numPr>
          <w:ilvl w:val="1"/>
          <w:numId w:val="15"/>
        </w:numPr>
        <w:tabs>
          <w:tab w:pos="1585" w:val="left" w:leader="none"/>
        </w:tabs>
        <w:spacing w:line="240" w:lineRule="auto" w:before="240" w:after="0"/>
        <w:ind w:left="1585" w:right="212" w:hanging="362"/>
        <w:jc w:val="both"/>
        <w:rPr>
          <w:rFonts w:ascii="Symbol" w:hAnsi="Symbol"/>
          <w:sz w:val="20"/>
        </w:rPr>
      </w:pPr>
      <w:r>
        <w:rPr>
          <w:b/>
          <w:sz w:val="24"/>
        </w:rPr>
        <w:t>Networking </w:t>
      </w:r>
      <w:r>
        <w:rPr>
          <w:sz w:val="24"/>
        </w:rPr>
        <w:t>– SSWO increases the exchange of information among students, faculty, administrators and community service</w:t>
      </w:r>
      <w:r>
        <w:rPr>
          <w:spacing w:val="-26"/>
          <w:sz w:val="24"/>
        </w:rPr>
        <w:t> </w:t>
      </w:r>
      <w:r>
        <w:rPr>
          <w:sz w:val="24"/>
        </w:rPr>
        <w:t>providers</w:t>
      </w:r>
    </w:p>
    <w:p>
      <w:pPr>
        <w:pStyle w:val="ListParagraph"/>
        <w:numPr>
          <w:ilvl w:val="1"/>
          <w:numId w:val="15"/>
        </w:numPr>
        <w:tabs>
          <w:tab w:pos="1585" w:val="left" w:leader="none"/>
        </w:tabs>
        <w:spacing w:line="240" w:lineRule="auto" w:before="235" w:after="0"/>
        <w:ind w:left="1585" w:right="213" w:hanging="362"/>
        <w:jc w:val="both"/>
        <w:rPr>
          <w:rFonts w:ascii="Symbol" w:hAnsi="Symbol"/>
          <w:sz w:val="20"/>
        </w:rPr>
      </w:pPr>
      <w:r>
        <w:rPr>
          <w:b/>
          <w:sz w:val="24"/>
        </w:rPr>
        <w:t>Development </w:t>
      </w:r>
      <w:r>
        <w:rPr>
          <w:sz w:val="24"/>
        </w:rPr>
        <w:t>– SSWO provides a number of opportunities to engage in professional development</w:t>
      </w:r>
      <w:r>
        <w:rPr>
          <w:spacing w:val="-8"/>
          <w:sz w:val="24"/>
        </w:rPr>
        <w:t> </w:t>
      </w:r>
      <w:r>
        <w:rPr>
          <w:sz w:val="24"/>
        </w:rPr>
        <w:t>activities</w:t>
      </w:r>
      <w:r>
        <w:rPr>
          <w:spacing w:val="-8"/>
          <w:sz w:val="24"/>
        </w:rPr>
        <w:t> </w:t>
      </w:r>
      <w:r>
        <w:rPr>
          <w:sz w:val="24"/>
        </w:rPr>
        <w:t>(service</w:t>
      </w:r>
      <w:r>
        <w:rPr>
          <w:spacing w:val="-7"/>
          <w:sz w:val="24"/>
        </w:rPr>
        <w:t> </w:t>
      </w:r>
      <w:r>
        <w:rPr>
          <w:sz w:val="24"/>
        </w:rPr>
        <w:t>to</w:t>
      </w:r>
      <w:r>
        <w:rPr>
          <w:spacing w:val="-8"/>
          <w:sz w:val="24"/>
        </w:rPr>
        <w:t> </w:t>
      </w:r>
      <w:r>
        <w:rPr>
          <w:sz w:val="24"/>
        </w:rPr>
        <w:t>community</w:t>
      </w:r>
      <w:r>
        <w:rPr>
          <w:spacing w:val="-7"/>
          <w:sz w:val="24"/>
        </w:rPr>
        <w:t> </w:t>
      </w:r>
      <w:r>
        <w:rPr>
          <w:sz w:val="24"/>
        </w:rPr>
        <w:t>and</w:t>
      </w:r>
      <w:r>
        <w:rPr>
          <w:spacing w:val="-8"/>
          <w:sz w:val="24"/>
        </w:rPr>
        <w:t> </w:t>
      </w:r>
      <w:r>
        <w:rPr>
          <w:sz w:val="24"/>
        </w:rPr>
        <w:t>fundraising</w:t>
      </w:r>
      <w:r>
        <w:rPr>
          <w:spacing w:val="-7"/>
          <w:sz w:val="24"/>
        </w:rPr>
        <w:t> </w:t>
      </w:r>
      <w:r>
        <w:rPr>
          <w:sz w:val="24"/>
        </w:rPr>
        <w:t>events),</w:t>
      </w:r>
      <w:r>
        <w:rPr>
          <w:spacing w:val="-8"/>
          <w:sz w:val="24"/>
        </w:rPr>
        <w:t> </w:t>
      </w:r>
      <w:r>
        <w:rPr>
          <w:sz w:val="24"/>
        </w:rPr>
        <w:t>leadership</w:t>
      </w:r>
      <w:r>
        <w:rPr>
          <w:spacing w:val="-7"/>
          <w:sz w:val="24"/>
        </w:rPr>
        <w:t> </w:t>
      </w:r>
      <w:r>
        <w:rPr>
          <w:sz w:val="24"/>
        </w:rPr>
        <w:t>development (opportunities to be involved in the planning, coordination and implementation of various projects), exposure to individuals in the field (guest speakers, site</w:t>
      </w:r>
      <w:r>
        <w:rPr>
          <w:spacing w:val="-23"/>
          <w:sz w:val="24"/>
        </w:rPr>
        <w:t> </w:t>
      </w:r>
      <w:r>
        <w:rPr>
          <w:sz w:val="24"/>
        </w:rPr>
        <w:t>visits)</w:t>
      </w:r>
    </w:p>
    <w:p>
      <w:pPr>
        <w:pStyle w:val="ListParagraph"/>
        <w:numPr>
          <w:ilvl w:val="1"/>
          <w:numId w:val="15"/>
        </w:numPr>
        <w:tabs>
          <w:tab w:pos="1585" w:val="left" w:leader="none"/>
        </w:tabs>
        <w:spacing w:line="240" w:lineRule="auto" w:before="239" w:after="0"/>
        <w:ind w:left="1585" w:right="213" w:hanging="362"/>
        <w:jc w:val="both"/>
        <w:rPr>
          <w:rFonts w:ascii="Symbol" w:hAnsi="Symbol"/>
          <w:sz w:val="20"/>
        </w:rPr>
      </w:pPr>
      <w:r>
        <w:rPr>
          <w:b/>
          <w:sz w:val="24"/>
        </w:rPr>
        <w:t>Fun </w:t>
      </w:r>
      <w:r>
        <w:rPr>
          <w:sz w:val="24"/>
        </w:rPr>
        <w:t>– SSWO provides activities that celebrate our successes as an organization as well as form relationships among new students who are interested in learning more about social</w:t>
      </w:r>
      <w:r>
        <w:rPr>
          <w:spacing w:val="46"/>
          <w:sz w:val="24"/>
        </w:rPr>
        <w:t> </w:t>
      </w:r>
      <w:r>
        <w:rPr>
          <w:sz w:val="24"/>
        </w:rPr>
        <w:t>work</w:t>
      </w:r>
    </w:p>
    <w:p>
      <w:pPr>
        <w:pStyle w:val="BodyText"/>
        <w:rPr>
          <w:sz w:val="28"/>
        </w:rPr>
      </w:pPr>
    </w:p>
    <w:p>
      <w:pPr>
        <w:pStyle w:val="BodyText"/>
        <w:spacing w:before="4"/>
        <w:rPr>
          <w:sz w:val="35"/>
        </w:rPr>
      </w:pPr>
    </w:p>
    <w:p>
      <w:pPr>
        <w:pStyle w:val="Heading2"/>
        <w:ind w:left="863"/>
      </w:pPr>
      <w:r>
        <w:rPr>
          <w:color w:val="1F497C"/>
        </w:rPr>
        <w:t>NATIONAL ASSOCIATION OF SOCIAL WORKERS (NASW)</w:t>
      </w:r>
    </w:p>
    <w:p>
      <w:pPr>
        <w:spacing w:after="0"/>
        <w:sectPr>
          <w:pgSz w:w="12240" w:h="15840"/>
          <w:pgMar w:header="0" w:footer="992" w:top="1380" w:bottom="1180" w:left="300" w:right="920"/>
        </w:sectPr>
      </w:pPr>
    </w:p>
    <w:p>
      <w:pPr>
        <w:pStyle w:val="BodyText"/>
        <w:spacing w:before="183"/>
        <w:ind w:left="863" w:right="214"/>
        <w:jc w:val="both"/>
      </w:pPr>
      <w:r>
        <w:rPr/>
        <w:t>The National Association of Social Workers (NASW) is the largest membership organization of professional social workers in the world, with </w:t>
      </w:r>
      <w:r>
        <w:rPr>
          <w:color w:val="0000FF"/>
          <w:u w:val="single" w:color="0000FF"/>
        </w:rPr>
        <w:t>142,000 members</w:t>
      </w:r>
      <w:r>
        <w:rPr/>
        <w:t>. NASW works to enhance the professional growth and development of its members, to create and maintain professional standards, and to advance sound social policies.</w:t>
      </w:r>
    </w:p>
    <w:p>
      <w:pPr>
        <w:pStyle w:val="BodyText"/>
        <w:spacing w:before="240"/>
        <w:ind w:left="863" w:right="214"/>
        <w:jc w:val="both"/>
      </w:pPr>
      <w:r>
        <w:rPr/>
        <w:t>The NASW offers the option for students to join at a reduced rate and offers specific supports to members</w:t>
      </w:r>
      <w:r>
        <w:rPr>
          <w:spacing w:val="-11"/>
        </w:rPr>
        <w:t> </w:t>
      </w:r>
      <w:r>
        <w:rPr/>
        <w:t>through</w:t>
      </w:r>
      <w:r>
        <w:rPr>
          <w:spacing w:val="-11"/>
        </w:rPr>
        <w:t> </w:t>
      </w:r>
      <w:r>
        <w:rPr/>
        <w:t>an</w:t>
      </w:r>
      <w:r>
        <w:rPr>
          <w:spacing w:val="-10"/>
        </w:rPr>
        <w:t> </w:t>
      </w:r>
      <w:r>
        <w:rPr/>
        <w:t>online</w:t>
      </w:r>
      <w:r>
        <w:rPr>
          <w:spacing w:val="-11"/>
        </w:rPr>
        <w:t> </w:t>
      </w:r>
      <w:r>
        <w:rPr>
          <w:color w:val="0000FF"/>
          <w:u w:val="single" w:color="0000FF"/>
        </w:rPr>
        <w:t>Student</w:t>
      </w:r>
      <w:r>
        <w:rPr>
          <w:color w:val="0000FF"/>
          <w:spacing w:val="-10"/>
          <w:u w:val="single" w:color="0000FF"/>
        </w:rPr>
        <w:t> </w:t>
      </w:r>
      <w:r>
        <w:rPr>
          <w:color w:val="0000FF"/>
          <w:u w:val="single" w:color="0000FF"/>
        </w:rPr>
        <w:t>Center</w:t>
      </w:r>
      <w:r>
        <w:rPr>
          <w:color w:val="0000FF"/>
          <w:spacing w:val="-11"/>
        </w:rPr>
        <w:t> </w:t>
      </w:r>
      <w:r>
        <w:rPr/>
        <w:t>and</w:t>
      </w:r>
      <w:r>
        <w:rPr>
          <w:spacing w:val="-10"/>
        </w:rPr>
        <w:t> </w:t>
      </w:r>
      <w:r>
        <w:rPr/>
        <w:t>a</w:t>
      </w:r>
      <w:r>
        <w:rPr>
          <w:spacing w:val="-11"/>
        </w:rPr>
        <w:t> </w:t>
      </w:r>
      <w:r>
        <w:rPr>
          <w:color w:val="0000FF"/>
          <w:u w:val="single" w:color="0000FF"/>
        </w:rPr>
        <w:t>student</w:t>
      </w:r>
      <w:r>
        <w:rPr>
          <w:color w:val="0000FF"/>
          <w:spacing w:val="-10"/>
          <w:u w:val="single" w:color="0000FF"/>
        </w:rPr>
        <w:t> </w:t>
      </w:r>
      <w:r>
        <w:rPr>
          <w:color w:val="0000FF"/>
          <w:u w:val="single" w:color="0000FF"/>
        </w:rPr>
        <w:t>starter</w:t>
      </w:r>
      <w:r>
        <w:rPr>
          <w:color w:val="0000FF"/>
          <w:spacing w:val="-11"/>
          <w:u w:val="single" w:color="0000FF"/>
        </w:rPr>
        <w:t> </w:t>
      </w:r>
      <w:r>
        <w:rPr>
          <w:color w:val="0000FF"/>
          <w:u w:val="single" w:color="0000FF"/>
        </w:rPr>
        <w:t>toolkit</w:t>
      </w:r>
      <w:r>
        <w:rPr>
          <w:color w:val="0000FF"/>
          <w:spacing w:val="-10"/>
        </w:rPr>
        <w:t> </w:t>
      </w:r>
      <w:r>
        <w:rPr/>
        <w:t>for</w:t>
      </w:r>
      <w:r>
        <w:rPr>
          <w:spacing w:val="-11"/>
        </w:rPr>
        <w:t> </w:t>
      </w:r>
      <w:r>
        <w:rPr/>
        <w:t>student</w:t>
      </w:r>
      <w:r>
        <w:rPr>
          <w:spacing w:val="-10"/>
        </w:rPr>
        <w:t> </w:t>
      </w:r>
      <w:r>
        <w:rPr/>
        <w:t>members.</w:t>
      </w:r>
      <w:r>
        <w:rPr>
          <w:spacing w:val="-11"/>
        </w:rPr>
        <w:t> </w:t>
      </w:r>
      <w:r>
        <w:rPr/>
        <w:t>To</w:t>
      </w:r>
      <w:r>
        <w:rPr>
          <w:spacing w:val="-10"/>
        </w:rPr>
        <w:t> </w:t>
      </w:r>
      <w:r>
        <w:rPr/>
        <w:t>learn more about NASW and join, go to</w:t>
      </w:r>
      <w:r>
        <w:rPr>
          <w:spacing w:val="-3"/>
        </w:rPr>
        <w:t> </w:t>
      </w:r>
      <w:r>
        <w:rPr>
          <w:color w:val="0000FF"/>
          <w:u w:val="single" w:color="0000FF"/>
        </w:rPr>
        <w:t>https://</w:t>
      </w:r>
      <w:hyperlink r:id="rId23">
        <w:r>
          <w:rPr>
            <w:color w:val="0000FF"/>
            <w:u w:val="single" w:color="0000FF"/>
          </w:rPr>
          <w:t>www.socialworkers.org/.</w:t>
        </w:r>
      </w:hyperlink>
    </w:p>
    <w:p>
      <w:pPr>
        <w:pStyle w:val="BodyText"/>
        <w:rPr>
          <w:sz w:val="20"/>
        </w:rPr>
      </w:pPr>
    </w:p>
    <w:p>
      <w:pPr>
        <w:pStyle w:val="BodyText"/>
        <w:spacing w:before="4"/>
        <w:rPr>
          <w:sz w:val="19"/>
        </w:rPr>
      </w:pPr>
    </w:p>
    <w:p>
      <w:pPr>
        <w:pStyle w:val="Heading2"/>
        <w:spacing w:before="100"/>
      </w:pPr>
      <w:r>
        <w:rPr>
          <w:color w:val="1F497C"/>
        </w:rPr>
        <w:t>STATE LICENSURE</w:t>
      </w:r>
    </w:p>
    <w:p>
      <w:pPr>
        <w:pStyle w:val="BodyText"/>
        <w:spacing w:before="240"/>
        <w:ind w:left="865" w:right="341"/>
      </w:pPr>
      <w:r>
        <w:rPr/>
        <w:t>Upon graduation, the student should contact the State of Tennessee Board of Social Workers at 615- 741-5735 local or 1-800-778-4123 nationwide, or via their website: </w:t>
      </w:r>
      <w:r>
        <w:rPr>
          <w:color w:val="0000FF"/>
          <w:u w:val="single" w:color="0000FF"/>
        </w:rPr>
        <w:t>https://</w:t>
      </w:r>
      <w:hyperlink r:id="rId24">
        <w:r>
          <w:rPr>
            <w:color w:val="0000FF"/>
            <w:u w:val="single" w:color="0000FF"/>
          </w:rPr>
          <w:t>www.tn.gov/health/health-program-areas/health-professional-boards/sw-board.html</w:t>
        </w:r>
        <w:r>
          <w:rPr>
            <w:color w:val="0000FF"/>
          </w:rPr>
          <w:t> </w:t>
        </w:r>
      </w:hyperlink>
      <w:r>
        <w:rPr/>
        <w:t>to request information about licensure.</w:t>
      </w:r>
    </w:p>
    <w:p>
      <w:pPr>
        <w:pStyle w:val="BodyText"/>
        <w:rPr>
          <w:sz w:val="28"/>
        </w:rPr>
      </w:pPr>
    </w:p>
    <w:p>
      <w:pPr>
        <w:pStyle w:val="BodyText"/>
        <w:spacing w:before="12"/>
        <w:rPr>
          <w:sz w:val="26"/>
        </w:rPr>
      </w:pPr>
    </w:p>
    <w:p>
      <w:pPr>
        <w:pStyle w:val="Heading2"/>
        <w:spacing w:line="432" w:lineRule="auto"/>
        <w:ind w:right="8289"/>
      </w:pPr>
      <w:r>
        <w:rPr>
          <w:color w:val="1F497C"/>
        </w:rPr>
        <w:t>COMMUNICATION E-MAIL ACCOUNT</w:t>
      </w:r>
    </w:p>
    <w:p>
      <w:pPr>
        <w:pStyle w:val="BodyText"/>
        <w:spacing w:before="6"/>
        <w:ind w:left="865" w:right="214"/>
        <w:jc w:val="both"/>
      </w:pPr>
      <w:r>
        <w:rPr/>
        <w:t>An e-mail account is available free of charge to University of Memphis students. This UM account </w:t>
      </w:r>
      <w:r>
        <w:rPr>
          <w:b/>
        </w:rPr>
        <w:t>will be</w:t>
      </w:r>
      <w:r>
        <w:rPr>
          <w:b/>
          <w:spacing w:val="-6"/>
        </w:rPr>
        <w:t> </w:t>
      </w:r>
      <w:r>
        <w:rPr>
          <w:b/>
        </w:rPr>
        <w:t>the</w:t>
      </w:r>
      <w:r>
        <w:rPr>
          <w:b/>
          <w:spacing w:val="-6"/>
        </w:rPr>
        <w:t> </w:t>
      </w:r>
      <w:r>
        <w:rPr>
          <w:b/>
        </w:rPr>
        <w:t>official</w:t>
      </w:r>
      <w:r>
        <w:rPr>
          <w:b/>
          <w:spacing w:val="-5"/>
        </w:rPr>
        <w:t> </w:t>
      </w:r>
      <w:r>
        <w:rPr>
          <w:b/>
        </w:rPr>
        <w:t>contact</w:t>
      </w:r>
      <w:r>
        <w:rPr>
          <w:b/>
          <w:spacing w:val="-8"/>
        </w:rPr>
        <w:t> </w:t>
      </w:r>
      <w:r>
        <w:rPr/>
        <w:t>used</w:t>
      </w:r>
      <w:r>
        <w:rPr>
          <w:spacing w:val="-6"/>
        </w:rPr>
        <w:t> </w:t>
      </w:r>
      <w:r>
        <w:rPr/>
        <w:t>for</w:t>
      </w:r>
      <w:r>
        <w:rPr>
          <w:spacing w:val="-5"/>
        </w:rPr>
        <w:t> </w:t>
      </w:r>
      <w:r>
        <w:rPr/>
        <w:t>all</w:t>
      </w:r>
      <w:r>
        <w:rPr>
          <w:spacing w:val="-6"/>
        </w:rPr>
        <w:t> </w:t>
      </w:r>
      <w:r>
        <w:rPr/>
        <w:t>School</w:t>
      </w:r>
      <w:r>
        <w:rPr>
          <w:spacing w:val="-6"/>
        </w:rPr>
        <w:t> </w:t>
      </w:r>
      <w:r>
        <w:rPr/>
        <w:t>of</w:t>
      </w:r>
      <w:r>
        <w:rPr>
          <w:spacing w:val="-5"/>
        </w:rPr>
        <w:t> </w:t>
      </w:r>
      <w:r>
        <w:rPr/>
        <w:t>Social</w:t>
      </w:r>
      <w:r>
        <w:rPr>
          <w:spacing w:val="-6"/>
        </w:rPr>
        <w:t> </w:t>
      </w:r>
      <w:r>
        <w:rPr/>
        <w:t>Work</w:t>
      </w:r>
      <w:r>
        <w:rPr>
          <w:spacing w:val="-6"/>
        </w:rPr>
        <w:t> </w:t>
      </w:r>
      <w:r>
        <w:rPr/>
        <w:t>correspondence.</w:t>
      </w:r>
      <w:r>
        <w:rPr>
          <w:spacing w:val="-5"/>
        </w:rPr>
        <w:t> </w:t>
      </w:r>
      <w:r>
        <w:rPr/>
        <w:t>If</w:t>
      </w:r>
      <w:r>
        <w:rPr>
          <w:spacing w:val="-6"/>
        </w:rPr>
        <w:t> </w:t>
      </w:r>
      <w:r>
        <w:rPr/>
        <w:t>you</w:t>
      </w:r>
      <w:r>
        <w:rPr>
          <w:spacing w:val="-6"/>
        </w:rPr>
        <w:t> </w:t>
      </w:r>
      <w:r>
        <w:rPr/>
        <w:t>elect</w:t>
      </w:r>
      <w:r>
        <w:rPr>
          <w:spacing w:val="-5"/>
        </w:rPr>
        <w:t> </w:t>
      </w:r>
      <w:r>
        <w:rPr/>
        <w:t>to</w:t>
      </w:r>
      <w:r>
        <w:rPr>
          <w:spacing w:val="-6"/>
        </w:rPr>
        <w:t> </w:t>
      </w:r>
      <w:r>
        <w:rPr/>
        <w:t>use</w:t>
      </w:r>
      <w:r>
        <w:rPr>
          <w:spacing w:val="-6"/>
        </w:rPr>
        <w:t> </w:t>
      </w:r>
      <w:r>
        <w:rPr/>
        <w:t>another</w:t>
      </w:r>
      <w:r>
        <w:rPr>
          <w:spacing w:val="-5"/>
        </w:rPr>
        <w:t> </w:t>
      </w:r>
      <w:r>
        <w:rPr/>
        <w:t>e- mail</w:t>
      </w:r>
      <w:r>
        <w:rPr>
          <w:spacing w:val="-11"/>
        </w:rPr>
        <w:t> </w:t>
      </w:r>
      <w:r>
        <w:rPr/>
        <w:t>service,</w:t>
      </w:r>
      <w:r>
        <w:rPr>
          <w:spacing w:val="-11"/>
        </w:rPr>
        <w:t> </w:t>
      </w:r>
      <w:r>
        <w:rPr/>
        <w:t>you</w:t>
      </w:r>
      <w:r>
        <w:rPr>
          <w:spacing w:val="-11"/>
        </w:rPr>
        <w:t> </w:t>
      </w:r>
      <w:r>
        <w:rPr/>
        <w:t>must</w:t>
      </w:r>
      <w:r>
        <w:rPr>
          <w:spacing w:val="-10"/>
        </w:rPr>
        <w:t> </w:t>
      </w:r>
      <w:r>
        <w:rPr/>
        <w:t>obtain</w:t>
      </w:r>
      <w:r>
        <w:rPr>
          <w:spacing w:val="-11"/>
        </w:rPr>
        <w:t> </w:t>
      </w:r>
      <w:r>
        <w:rPr/>
        <w:t>an</w:t>
      </w:r>
      <w:r>
        <w:rPr>
          <w:spacing w:val="-11"/>
        </w:rPr>
        <w:t> </w:t>
      </w:r>
      <w:r>
        <w:rPr/>
        <w:t>account</w:t>
      </w:r>
      <w:r>
        <w:rPr>
          <w:spacing w:val="-10"/>
        </w:rPr>
        <w:t> </w:t>
      </w:r>
      <w:r>
        <w:rPr/>
        <w:t>through</w:t>
      </w:r>
      <w:r>
        <w:rPr>
          <w:spacing w:val="-11"/>
        </w:rPr>
        <w:t> </w:t>
      </w:r>
      <w:r>
        <w:rPr/>
        <w:t>the</w:t>
      </w:r>
      <w:r>
        <w:rPr>
          <w:spacing w:val="-11"/>
        </w:rPr>
        <w:t> </w:t>
      </w:r>
      <w:r>
        <w:rPr/>
        <w:t>university</w:t>
      </w:r>
      <w:r>
        <w:rPr>
          <w:spacing w:val="-11"/>
        </w:rPr>
        <w:t> </w:t>
      </w:r>
      <w:r>
        <w:rPr/>
        <w:t>and</w:t>
      </w:r>
      <w:r>
        <w:rPr>
          <w:spacing w:val="-11"/>
        </w:rPr>
        <w:t> </w:t>
      </w:r>
      <w:r>
        <w:rPr/>
        <w:t>forward</w:t>
      </w:r>
      <w:r>
        <w:rPr>
          <w:spacing w:val="-11"/>
        </w:rPr>
        <w:t> </w:t>
      </w:r>
      <w:r>
        <w:rPr/>
        <w:t>your</w:t>
      </w:r>
      <w:r>
        <w:rPr>
          <w:spacing w:val="-10"/>
        </w:rPr>
        <w:t> </w:t>
      </w:r>
      <w:r>
        <w:rPr/>
        <w:t>mail</w:t>
      </w:r>
      <w:r>
        <w:rPr>
          <w:spacing w:val="-11"/>
        </w:rPr>
        <w:t> </w:t>
      </w:r>
      <w:r>
        <w:rPr/>
        <w:t>to</w:t>
      </w:r>
      <w:r>
        <w:rPr>
          <w:spacing w:val="-11"/>
        </w:rPr>
        <w:t> </w:t>
      </w:r>
      <w:r>
        <w:rPr/>
        <w:t>your</w:t>
      </w:r>
      <w:r>
        <w:rPr>
          <w:spacing w:val="-10"/>
        </w:rPr>
        <w:t> </w:t>
      </w:r>
      <w:r>
        <w:rPr/>
        <w:t>personal account. Much correspondence is conveyed to students via e-mail so the account should be checked frequently.</w:t>
      </w:r>
    </w:p>
    <w:p>
      <w:pPr>
        <w:pStyle w:val="BodyText"/>
        <w:rPr>
          <w:sz w:val="28"/>
        </w:rPr>
      </w:pPr>
    </w:p>
    <w:p>
      <w:pPr>
        <w:pStyle w:val="BodyText"/>
        <w:spacing w:before="8"/>
        <w:rPr>
          <w:sz w:val="20"/>
        </w:rPr>
      </w:pPr>
    </w:p>
    <w:p>
      <w:pPr>
        <w:pStyle w:val="Heading2"/>
      </w:pPr>
      <w:r>
        <w:rPr>
          <w:color w:val="1F497C"/>
        </w:rPr>
        <w:t>OTHER COMMUNICATION</w:t>
      </w:r>
    </w:p>
    <w:p>
      <w:pPr>
        <w:pStyle w:val="BodyText"/>
        <w:spacing w:before="240"/>
        <w:ind w:left="865" w:right="212"/>
        <w:jc w:val="both"/>
      </w:pPr>
      <w:r>
        <w:rPr/>
        <w:t>Students are asked to ensure that the School office has a current e-mail address, mailing address and telephone number. The success of our degree program depends partly on our ability to foster ties to our students, alumni and the larger community. Students can update their contact information by informing the School of Social Work administrative assistant, in writing, of any changes.</w:t>
      </w:r>
    </w:p>
    <w:p>
      <w:pPr>
        <w:spacing w:after="0"/>
        <w:jc w:val="both"/>
        <w:sectPr>
          <w:pgSz w:w="12240" w:h="15840"/>
          <w:pgMar w:header="0" w:footer="992" w:top="1500" w:bottom="1180" w:left="300" w:right="920"/>
        </w:sectPr>
      </w:pPr>
    </w:p>
    <w:p>
      <w:pPr>
        <w:pStyle w:val="Heading2"/>
        <w:spacing w:line="436" w:lineRule="auto" w:before="73"/>
        <w:ind w:right="7799"/>
      </w:pPr>
      <w:r>
        <w:rPr>
          <w:color w:val="1F497C"/>
        </w:rPr>
        <w:t>CAMPUS SERVICES ACADEMIC CALENDARS</w:t>
      </w:r>
    </w:p>
    <w:p>
      <w:pPr>
        <w:pStyle w:val="BodyText"/>
        <w:spacing w:before="38"/>
        <w:ind w:left="865" w:right="212"/>
        <w:jc w:val="both"/>
      </w:pPr>
      <w:r>
        <w:rPr/>
        <w:t>Academic year calendars mark the major activity dates (class start/end dates, exam dates, and commencement)</w:t>
      </w:r>
      <w:r>
        <w:rPr>
          <w:spacing w:val="-3"/>
        </w:rPr>
        <w:t> </w:t>
      </w:r>
      <w:r>
        <w:rPr/>
        <w:t>of</w:t>
      </w:r>
      <w:r>
        <w:rPr>
          <w:spacing w:val="-2"/>
        </w:rPr>
        <w:t> </w:t>
      </w:r>
      <w:r>
        <w:rPr/>
        <w:t>each</w:t>
      </w:r>
      <w:r>
        <w:rPr>
          <w:spacing w:val="-3"/>
        </w:rPr>
        <w:t> </w:t>
      </w:r>
      <w:r>
        <w:rPr/>
        <w:t>term</w:t>
      </w:r>
      <w:r>
        <w:rPr>
          <w:spacing w:val="-2"/>
        </w:rPr>
        <w:t> </w:t>
      </w:r>
      <w:r>
        <w:rPr/>
        <w:t>and</w:t>
      </w:r>
      <w:r>
        <w:rPr>
          <w:spacing w:val="-3"/>
        </w:rPr>
        <w:t> </w:t>
      </w:r>
      <w:r>
        <w:rPr/>
        <w:t>its</w:t>
      </w:r>
      <w:r>
        <w:rPr>
          <w:spacing w:val="-2"/>
        </w:rPr>
        <w:t> </w:t>
      </w:r>
      <w:r>
        <w:rPr/>
        <w:t>parts.</w:t>
      </w:r>
      <w:r>
        <w:rPr>
          <w:spacing w:val="-3"/>
        </w:rPr>
        <w:t> </w:t>
      </w:r>
      <w:r>
        <w:rPr/>
        <w:t>Each</w:t>
      </w:r>
      <w:r>
        <w:rPr>
          <w:spacing w:val="-2"/>
        </w:rPr>
        <w:t> </w:t>
      </w:r>
      <w:r>
        <w:rPr/>
        <w:t>Academic</w:t>
      </w:r>
      <w:r>
        <w:rPr>
          <w:spacing w:val="-3"/>
        </w:rPr>
        <w:t> </w:t>
      </w:r>
      <w:r>
        <w:rPr/>
        <w:t>Year</w:t>
      </w:r>
      <w:r>
        <w:rPr>
          <w:spacing w:val="-2"/>
        </w:rPr>
        <w:t> </w:t>
      </w:r>
      <w:r>
        <w:rPr/>
        <w:t>begins</w:t>
      </w:r>
      <w:r>
        <w:rPr>
          <w:spacing w:val="-3"/>
        </w:rPr>
        <w:t> </w:t>
      </w:r>
      <w:r>
        <w:rPr/>
        <w:t>with</w:t>
      </w:r>
      <w:r>
        <w:rPr>
          <w:spacing w:val="-1"/>
        </w:rPr>
        <w:t> </w:t>
      </w:r>
      <w:r>
        <w:rPr/>
        <w:t>the</w:t>
      </w:r>
      <w:r>
        <w:rPr>
          <w:spacing w:val="-2"/>
        </w:rPr>
        <w:t> </w:t>
      </w:r>
      <w:r>
        <w:rPr/>
        <w:t>Fall</w:t>
      </w:r>
      <w:r>
        <w:rPr>
          <w:spacing w:val="-3"/>
        </w:rPr>
        <w:t> </w:t>
      </w:r>
      <w:r>
        <w:rPr/>
        <w:t>term</w:t>
      </w:r>
      <w:r>
        <w:rPr>
          <w:spacing w:val="-2"/>
        </w:rPr>
        <w:t> </w:t>
      </w:r>
      <w:r>
        <w:rPr/>
        <w:t>and</w:t>
      </w:r>
      <w:r>
        <w:rPr>
          <w:spacing w:val="-3"/>
        </w:rPr>
        <w:t> </w:t>
      </w:r>
      <w:r>
        <w:rPr/>
        <w:t>ends</w:t>
      </w:r>
      <w:r>
        <w:rPr>
          <w:spacing w:val="-2"/>
        </w:rPr>
        <w:t> </w:t>
      </w:r>
      <w:r>
        <w:rPr/>
        <w:t>at the conclusion of the Summer</w:t>
      </w:r>
      <w:r>
        <w:rPr>
          <w:spacing w:val="-21"/>
        </w:rPr>
        <w:t> </w:t>
      </w:r>
      <w:r>
        <w:rPr/>
        <w:t>term.</w:t>
      </w:r>
    </w:p>
    <w:p>
      <w:pPr>
        <w:pStyle w:val="BodyText"/>
        <w:spacing w:before="9"/>
        <w:rPr>
          <w:sz w:val="22"/>
        </w:rPr>
      </w:pPr>
    </w:p>
    <w:p>
      <w:pPr>
        <w:spacing w:before="0"/>
        <w:ind w:left="865" w:right="212" w:firstLine="0"/>
        <w:jc w:val="both"/>
        <w:rPr>
          <w:sz w:val="24"/>
        </w:rPr>
      </w:pPr>
      <w:r>
        <w:rPr>
          <w:i/>
          <w:sz w:val="24"/>
        </w:rPr>
        <w:t>Students</w:t>
      </w:r>
      <w:r>
        <w:rPr>
          <w:i/>
          <w:spacing w:val="-9"/>
          <w:sz w:val="24"/>
        </w:rPr>
        <w:t> </w:t>
      </w:r>
      <w:r>
        <w:rPr>
          <w:i/>
          <w:sz w:val="24"/>
        </w:rPr>
        <w:t>wanting</w:t>
      </w:r>
      <w:r>
        <w:rPr>
          <w:i/>
          <w:spacing w:val="-9"/>
          <w:sz w:val="24"/>
        </w:rPr>
        <w:t> </w:t>
      </w:r>
      <w:r>
        <w:rPr>
          <w:i/>
          <w:sz w:val="24"/>
        </w:rPr>
        <w:t>registration,</w:t>
      </w:r>
      <w:r>
        <w:rPr>
          <w:i/>
          <w:spacing w:val="-9"/>
          <w:sz w:val="24"/>
        </w:rPr>
        <w:t> </w:t>
      </w:r>
      <w:r>
        <w:rPr>
          <w:i/>
          <w:sz w:val="24"/>
        </w:rPr>
        <w:t>add/drop,</w:t>
      </w:r>
      <w:r>
        <w:rPr>
          <w:i/>
          <w:spacing w:val="-9"/>
          <w:sz w:val="24"/>
        </w:rPr>
        <w:t> </w:t>
      </w:r>
      <w:r>
        <w:rPr>
          <w:i/>
          <w:sz w:val="24"/>
        </w:rPr>
        <w:t>fee</w:t>
      </w:r>
      <w:r>
        <w:rPr>
          <w:i/>
          <w:spacing w:val="-9"/>
          <w:sz w:val="24"/>
        </w:rPr>
        <w:t> </w:t>
      </w:r>
      <w:r>
        <w:rPr>
          <w:i/>
          <w:sz w:val="24"/>
        </w:rPr>
        <w:t>payment,</w:t>
      </w:r>
      <w:r>
        <w:rPr>
          <w:i/>
          <w:spacing w:val="-9"/>
          <w:sz w:val="24"/>
        </w:rPr>
        <w:t> </w:t>
      </w:r>
      <w:r>
        <w:rPr>
          <w:i/>
          <w:sz w:val="24"/>
        </w:rPr>
        <w:t>dates</w:t>
      </w:r>
      <w:r>
        <w:rPr>
          <w:i/>
          <w:spacing w:val="-9"/>
          <w:sz w:val="24"/>
        </w:rPr>
        <w:t> </w:t>
      </w:r>
      <w:r>
        <w:rPr>
          <w:i/>
          <w:sz w:val="24"/>
        </w:rPr>
        <w:t>and</w:t>
      </w:r>
      <w:r>
        <w:rPr>
          <w:i/>
          <w:spacing w:val="-9"/>
          <w:sz w:val="24"/>
        </w:rPr>
        <w:t> </w:t>
      </w:r>
      <w:r>
        <w:rPr>
          <w:i/>
          <w:sz w:val="24"/>
        </w:rPr>
        <w:t>deadlines</w:t>
      </w:r>
      <w:r>
        <w:rPr>
          <w:i/>
          <w:spacing w:val="-8"/>
          <w:sz w:val="24"/>
        </w:rPr>
        <w:t> </w:t>
      </w:r>
      <w:r>
        <w:rPr>
          <w:sz w:val="24"/>
        </w:rPr>
        <w:t>for</w:t>
      </w:r>
      <w:r>
        <w:rPr>
          <w:spacing w:val="-8"/>
          <w:sz w:val="24"/>
        </w:rPr>
        <w:t> </w:t>
      </w:r>
      <w:r>
        <w:rPr>
          <w:sz w:val="24"/>
        </w:rPr>
        <w:t>a</w:t>
      </w:r>
      <w:r>
        <w:rPr>
          <w:spacing w:val="-9"/>
          <w:sz w:val="24"/>
        </w:rPr>
        <w:t> </w:t>
      </w:r>
      <w:r>
        <w:rPr>
          <w:sz w:val="24"/>
        </w:rPr>
        <w:t>particular,</w:t>
      </w:r>
      <w:r>
        <w:rPr>
          <w:spacing w:val="37"/>
          <w:sz w:val="24"/>
        </w:rPr>
        <w:t> </w:t>
      </w:r>
      <w:r>
        <w:rPr>
          <w:sz w:val="24"/>
        </w:rPr>
        <w:t>immediate term should review the </w:t>
      </w:r>
      <w:r>
        <w:rPr>
          <w:color w:val="0000FF"/>
          <w:sz w:val="24"/>
          <w:u w:val="single" w:color="0000FF"/>
        </w:rPr>
        <w:t>Dates &amp; Deadlines Calendar </w:t>
      </w:r>
      <w:r>
        <w:rPr>
          <w:sz w:val="24"/>
        </w:rPr>
        <w:t>for that term. For academic calendars,</w:t>
      </w:r>
      <w:r>
        <w:rPr>
          <w:spacing w:val="5"/>
          <w:sz w:val="24"/>
        </w:rPr>
        <w:t> </w:t>
      </w:r>
      <w:r>
        <w:rPr>
          <w:sz w:val="24"/>
        </w:rPr>
        <w:t>see </w:t>
      </w:r>
      <w:hyperlink r:id="rId25">
        <w:r>
          <w:rPr>
            <w:color w:val="0000FF"/>
            <w:sz w:val="24"/>
            <w:u w:val="single" w:color="0000FF"/>
          </w:rPr>
          <w:t>http://www.memphis.edu/registrar/calendars/index.php.</w:t>
        </w:r>
      </w:hyperlink>
    </w:p>
    <w:p>
      <w:pPr>
        <w:pStyle w:val="BodyText"/>
        <w:rPr>
          <w:sz w:val="20"/>
        </w:rPr>
      </w:pPr>
    </w:p>
    <w:p>
      <w:pPr>
        <w:pStyle w:val="BodyText"/>
        <w:rPr>
          <w:sz w:val="20"/>
        </w:rPr>
      </w:pPr>
    </w:p>
    <w:p>
      <w:pPr>
        <w:pStyle w:val="BodyText"/>
        <w:spacing w:before="2"/>
        <w:rPr>
          <w:sz w:val="18"/>
        </w:rPr>
      </w:pPr>
    </w:p>
    <w:p>
      <w:pPr>
        <w:pStyle w:val="Heading2"/>
        <w:spacing w:before="101"/>
      </w:pPr>
      <w:r>
        <w:rPr>
          <w:color w:val="1F497C"/>
        </w:rPr>
        <w:t>PARKING SERVICES</w:t>
      </w:r>
    </w:p>
    <w:p>
      <w:pPr>
        <w:pStyle w:val="BodyText"/>
        <w:spacing w:before="239"/>
        <w:ind w:left="865" w:right="213"/>
        <w:jc w:val="both"/>
      </w:pPr>
      <w:r>
        <w:rPr/>
        <w:t>Parking services is located at 120 Zach Curlin Parking Garage and can be contacted at (901) 678-2212. Parking services offers general permit parking, priority permit parking, and visitor parking. See </w:t>
      </w:r>
      <w:hyperlink r:id="rId26">
        <w:r>
          <w:rPr>
            <w:color w:val="0000FF"/>
            <w:u w:val="single" w:color="0000FF"/>
          </w:rPr>
          <w:t>http://bf.memphis.edu/parking/</w:t>
        </w:r>
        <w:r>
          <w:rPr>
            <w:color w:val="0000FF"/>
          </w:rPr>
          <w:t> </w:t>
        </w:r>
      </w:hyperlink>
      <w:r>
        <w:rPr/>
        <w:t>for more information.</w:t>
      </w:r>
    </w:p>
    <w:p>
      <w:pPr>
        <w:pStyle w:val="BodyText"/>
        <w:rPr>
          <w:sz w:val="20"/>
        </w:rPr>
      </w:pPr>
    </w:p>
    <w:p>
      <w:pPr>
        <w:pStyle w:val="BodyText"/>
        <w:rPr>
          <w:sz w:val="20"/>
        </w:rPr>
      </w:pPr>
    </w:p>
    <w:p>
      <w:pPr>
        <w:pStyle w:val="BodyText"/>
        <w:spacing w:before="1"/>
        <w:rPr>
          <w:sz w:val="15"/>
        </w:rPr>
      </w:pPr>
    </w:p>
    <w:p>
      <w:pPr>
        <w:pStyle w:val="Heading2"/>
        <w:spacing w:before="100"/>
        <w:jc w:val="both"/>
      </w:pPr>
      <w:r>
        <w:rPr>
          <w:color w:val="1F497C"/>
        </w:rPr>
        <w:t>ID CARDS</w:t>
      </w:r>
    </w:p>
    <w:p>
      <w:pPr>
        <w:pStyle w:val="BodyText"/>
        <w:spacing w:before="10"/>
        <w:rPr>
          <w:b/>
          <w:sz w:val="22"/>
        </w:rPr>
      </w:pPr>
    </w:p>
    <w:p>
      <w:pPr>
        <w:pStyle w:val="BodyText"/>
        <w:ind w:left="865" w:right="214"/>
        <w:jc w:val="both"/>
      </w:pPr>
      <w:r>
        <w:rPr/>
        <w:t>The University of Memphis issues each student, faculty and staff member an identification card that bears their name and image. This permanent identification card is used as the primary campus-wide method of determining privileges and accesses. Students must be currently enrolled and a photo identification (such as driver's license or passport) is required to have an identification card made.</w:t>
      </w:r>
    </w:p>
    <w:p>
      <w:pPr>
        <w:pStyle w:val="BodyText"/>
        <w:spacing w:before="2"/>
        <w:rPr>
          <w:sz w:val="23"/>
        </w:rPr>
      </w:pPr>
    </w:p>
    <w:p>
      <w:pPr>
        <w:pStyle w:val="BodyText"/>
        <w:ind w:left="863" w:right="215"/>
        <w:jc w:val="both"/>
      </w:pPr>
      <w:r>
        <w:rPr/>
        <w:t>The University Identification card remains the property of The University of Memphis and should be surrendered upon the request of a University official. Students, faculty or staff members may possess only </w:t>
      </w:r>
      <w:r>
        <w:rPr>
          <w:b/>
        </w:rPr>
        <w:t>ONE </w:t>
      </w:r>
      <w:r>
        <w:rPr/>
        <w:t>University identification card at any time.</w:t>
      </w:r>
    </w:p>
    <w:p>
      <w:pPr>
        <w:pStyle w:val="BodyText"/>
        <w:spacing w:before="9"/>
        <w:rPr>
          <w:sz w:val="22"/>
        </w:rPr>
      </w:pPr>
    </w:p>
    <w:p>
      <w:pPr>
        <w:pStyle w:val="BodyText"/>
        <w:ind w:left="863" w:right="213"/>
        <w:jc w:val="both"/>
      </w:pPr>
      <w:r>
        <w:rPr/>
        <w:t>There is no charge for the initial student ID card. There is a $10 fee charged to replace a lost or stolen card. Pay the replacement fee at the Customer Service Windows adjacent to 115 Wilder Tower. Take your receipt to the Campus Card Office, 500 Wilder Tower to obtain your replacement card. Photo identification is required to obtain a new or replacement card.</w:t>
      </w:r>
    </w:p>
    <w:p>
      <w:pPr>
        <w:pStyle w:val="BodyText"/>
        <w:rPr>
          <w:sz w:val="28"/>
        </w:rPr>
      </w:pPr>
    </w:p>
    <w:p>
      <w:pPr>
        <w:pStyle w:val="Heading2"/>
        <w:spacing w:before="176"/>
        <w:ind w:left="863"/>
        <w:jc w:val="both"/>
      </w:pPr>
      <w:r>
        <w:rPr>
          <w:color w:val="1F497C"/>
        </w:rPr>
        <w:t>TIGER FUND$</w:t>
      </w:r>
    </w:p>
    <w:p>
      <w:pPr>
        <w:pStyle w:val="BodyText"/>
        <w:spacing w:before="10"/>
        <w:rPr>
          <w:b/>
          <w:sz w:val="22"/>
        </w:rPr>
      </w:pPr>
    </w:p>
    <w:p>
      <w:pPr>
        <w:pStyle w:val="BodyText"/>
        <w:spacing w:line="249" w:lineRule="auto"/>
        <w:ind w:left="863" w:right="215"/>
        <w:jc w:val="both"/>
      </w:pPr>
      <w:r>
        <w:rPr/>
        <w:t>A Tiger Fund$ account is a money management system activated by your University ID card that is available to all students, faculty, and staff. Once you have made a deposit into your personal Tiger Fund$ account, you simply present your University ID card to pay for meals at campus dining locations or to purchase books, supplies, and personal items at the University Store. You can also</w:t>
      </w:r>
      <w:r>
        <w:rPr>
          <w:spacing w:val="-9"/>
        </w:rPr>
        <w:t> </w:t>
      </w:r>
      <w:r>
        <w:rPr/>
        <w:t>use</w:t>
      </w:r>
    </w:p>
    <w:p>
      <w:pPr>
        <w:spacing w:after="0" w:line="249" w:lineRule="auto"/>
        <w:jc w:val="both"/>
        <w:sectPr>
          <w:pgSz w:w="12240" w:h="15840"/>
          <w:pgMar w:header="0" w:footer="992" w:top="1380" w:bottom="1180" w:left="300" w:right="920"/>
        </w:sectPr>
      </w:pPr>
    </w:p>
    <w:p>
      <w:pPr>
        <w:pStyle w:val="BodyText"/>
        <w:spacing w:before="73"/>
        <w:ind w:left="865"/>
      </w:pPr>
      <w:r>
        <w:rPr/>
        <w:t>your card in copier machines and for services at the Health Center and the Bursar's Office.</w:t>
      </w:r>
    </w:p>
    <w:p>
      <w:pPr>
        <w:pStyle w:val="BodyText"/>
        <w:rPr>
          <w:sz w:val="28"/>
        </w:rPr>
      </w:pPr>
    </w:p>
    <w:p>
      <w:pPr>
        <w:pStyle w:val="BodyText"/>
        <w:spacing w:before="220"/>
        <w:ind w:left="863" w:right="212"/>
        <w:jc w:val="both"/>
      </w:pPr>
      <w:r>
        <w:rPr/>
        <w:t>Deposits to your Tiger Fund$ account can be made by cash, check, or credit card (Visa, MasterCard, Discover,</w:t>
      </w:r>
      <w:r>
        <w:rPr>
          <w:spacing w:val="-12"/>
        </w:rPr>
        <w:t> </w:t>
      </w:r>
      <w:r>
        <w:rPr/>
        <w:t>American</w:t>
      </w:r>
      <w:r>
        <w:rPr>
          <w:spacing w:val="-12"/>
        </w:rPr>
        <w:t> </w:t>
      </w:r>
      <w:r>
        <w:rPr/>
        <w:t>Express)</w:t>
      </w:r>
      <w:r>
        <w:rPr>
          <w:spacing w:val="-12"/>
        </w:rPr>
        <w:t> </w:t>
      </w:r>
      <w:r>
        <w:rPr/>
        <w:t>at</w:t>
      </w:r>
      <w:r>
        <w:rPr>
          <w:spacing w:val="-12"/>
        </w:rPr>
        <w:t> </w:t>
      </w:r>
      <w:r>
        <w:rPr/>
        <w:t>the</w:t>
      </w:r>
      <w:r>
        <w:rPr>
          <w:spacing w:val="-12"/>
        </w:rPr>
        <w:t> </w:t>
      </w:r>
      <w:r>
        <w:rPr/>
        <w:t>Bursar's</w:t>
      </w:r>
      <w:r>
        <w:rPr>
          <w:spacing w:val="-11"/>
        </w:rPr>
        <w:t> </w:t>
      </w:r>
      <w:r>
        <w:rPr/>
        <w:t>Office</w:t>
      </w:r>
      <w:r>
        <w:rPr>
          <w:spacing w:val="-12"/>
        </w:rPr>
        <w:t> </w:t>
      </w:r>
      <w:r>
        <w:rPr/>
        <w:t>(Customer</w:t>
      </w:r>
      <w:r>
        <w:rPr>
          <w:spacing w:val="-12"/>
        </w:rPr>
        <w:t> </w:t>
      </w:r>
      <w:r>
        <w:rPr/>
        <w:t>Service</w:t>
      </w:r>
      <w:r>
        <w:rPr>
          <w:spacing w:val="-12"/>
        </w:rPr>
        <w:t> </w:t>
      </w:r>
      <w:r>
        <w:rPr/>
        <w:t>Windows,</w:t>
      </w:r>
      <w:r>
        <w:rPr>
          <w:spacing w:val="-12"/>
        </w:rPr>
        <w:t> </w:t>
      </w:r>
      <w:r>
        <w:rPr/>
        <w:t>1st</w:t>
      </w:r>
      <w:r>
        <w:rPr>
          <w:spacing w:val="-12"/>
        </w:rPr>
        <w:t> </w:t>
      </w:r>
      <w:r>
        <w:rPr/>
        <w:t>floor,</w:t>
      </w:r>
      <w:r>
        <w:rPr>
          <w:spacing w:val="-11"/>
        </w:rPr>
        <w:t> </w:t>
      </w:r>
      <w:r>
        <w:rPr/>
        <w:t>Wilder</w:t>
      </w:r>
      <w:r>
        <w:rPr>
          <w:spacing w:val="-12"/>
        </w:rPr>
        <w:t> </w:t>
      </w:r>
      <w:r>
        <w:rPr/>
        <w:t>Tower) or through Blackboard Card Management Centers located in the McWherter Library, the Law Library, the Tiger Copy &amp; Graphics Center, the Learning Resource Center, and the Speech and Hearing Center. Excess funds from financial aid/scholarships can also be deposited to your Tiger Fund$ account by completing an Authorization to Transfer Financial Aid/Scholarships to Tiger Fund$ form in the</w:t>
      </w:r>
      <w:r>
        <w:rPr>
          <w:spacing w:val="-22"/>
        </w:rPr>
        <w:t> </w:t>
      </w:r>
      <w:r>
        <w:rPr/>
        <w:t>Bursar's Office, 115 Wilder</w:t>
      </w:r>
      <w:r>
        <w:rPr>
          <w:spacing w:val="-3"/>
        </w:rPr>
        <w:t> </w:t>
      </w:r>
      <w:r>
        <w:rPr/>
        <w:t>Tower.</w:t>
      </w:r>
    </w:p>
    <w:p>
      <w:pPr>
        <w:pStyle w:val="BodyText"/>
        <w:rPr>
          <w:sz w:val="28"/>
        </w:rPr>
      </w:pPr>
    </w:p>
    <w:p>
      <w:pPr>
        <w:pStyle w:val="Heading2"/>
        <w:spacing w:before="175"/>
        <w:ind w:left="863"/>
      </w:pPr>
      <w:r>
        <w:rPr>
          <w:color w:val="1F497C"/>
        </w:rPr>
        <w:t>LIBRARIES</w:t>
      </w:r>
    </w:p>
    <w:p>
      <w:pPr>
        <w:pStyle w:val="BodyText"/>
        <w:spacing w:before="240"/>
        <w:ind w:left="863" w:right="262"/>
      </w:pPr>
      <w:r>
        <w:rPr/>
        <w:t>The University Libraries include the McWherter Library and four branch libraries: Audiology &amp; Speech Language Pathology, Chemistry, Mathematics, and Music. Most social work books, journals, and resources are located in McWherter Library or available electronically. For information about library policies and services pertaining to graduate students, see </w:t>
      </w:r>
      <w:hyperlink r:id="rId27">
        <w:r>
          <w:rPr>
            <w:color w:val="0000FF"/>
            <w:u w:val="single" w:color="0000FF"/>
          </w:rPr>
          <w:t>http://www.memphis.edu/libraries/.</w:t>
        </w:r>
      </w:hyperlink>
    </w:p>
    <w:p>
      <w:pPr>
        <w:pStyle w:val="BodyText"/>
        <w:rPr>
          <w:sz w:val="20"/>
        </w:rPr>
      </w:pPr>
    </w:p>
    <w:p>
      <w:pPr>
        <w:pStyle w:val="BodyText"/>
        <w:spacing w:before="8"/>
        <w:rPr>
          <w:sz w:val="21"/>
        </w:rPr>
      </w:pPr>
    </w:p>
    <w:p>
      <w:pPr>
        <w:pStyle w:val="Heading2"/>
        <w:spacing w:before="100"/>
      </w:pPr>
      <w:r>
        <w:rPr>
          <w:color w:val="1F497C"/>
        </w:rPr>
        <w:t>COMPUTER LABS</w:t>
      </w:r>
    </w:p>
    <w:p>
      <w:pPr>
        <w:pStyle w:val="BodyText"/>
        <w:spacing w:before="240"/>
        <w:ind w:left="863" w:right="212"/>
        <w:jc w:val="both"/>
      </w:pPr>
      <w:r>
        <w:rPr/>
        <w:t>Computer labs and iPrint kiosks are available to University of Memphis students in many locations across</w:t>
      </w:r>
      <w:r>
        <w:rPr>
          <w:spacing w:val="-15"/>
        </w:rPr>
        <w:t> </w:t>
      </w:r>
      <w:r>
        <w:rPr/>
        <w:t>campus.</w:t>
      </w:r>
      <w:r>
        <w:rPr>
          <w:spacing w:val="-14"/>
        </w:rPr>
        <w:t> </w:t>
      </w:r>
      <w:r>
        <w:rPr/>
        <w:t>The</w:t>
      </w:r>
      <w:r>
        <w:rPr>
          <w:spacing w:val="-14"/>
        </w:rPr>
        <w:t> </w:t>
      </w:r>
      <w:r>
        <w:rPr/>
        <w:t>closest</w:t>
      </w:r>
      <w:r>
        <w:rPr>
          <w:spacing w:val="-14"/>
        </w:rPr>
        <w:t> </w:t>
      </w:r>
      <w:r>
        <w:rPr/>
        <w:t>computer</w:t>
      </w:r>
      <w:r>
        <w:rPr>
          <w:spacing w:val="-14"/>
        </w:rPr>
        <w:t> </w:t>
      </w:r>
      <w:r>
        <w:rPr/>
        <w:t>labs</w:t>
      </w:r>
      <w:r>
        <w:rPr>
          <w:spacing w:val="-14"/>
        </w:rPr>
        <w:t> </w:t>
      </w:r>
      <w:r>
        <w:rPr/>
        <w:t>to</w:t>
      </w:r>
      <w:r>
        <w:rPr>
          <w:spacing w:val="-14"/>
        </w:rPr>
        <w:t> </w:t>
      </w:r>
      <w:r>
        <w:rPr/>
        <w:t>social</w:t>
      </w:r>
      <w:r>
        <w:rPr>
          <w:spacing w:val="-14"/>
        </w:rPr>
        <w:t> </w:t>
      </w:r>
      <w:r>
        <w:rPr/>
        <w:t>work</w:t>
      </w:r>
      <w:r>
        <w:rPr>
          <w:spacing w:val="-14"/>
        </w:rPr>
        <w:t> </w:t>
      </w:r>
      <w:r>
        <w:rPr/>
        <w:t>are</w:t>
      </w:r>
      <w:r>
        <w:rPr>
          <w:spacing w:val="-14"/>
        </w:rPr>
        <w:t> </w:t>
      </w:r>
      <w:r>
        <w:rPr/>
        <w:t>located</w:t>
      </w:r>
      <w:r>
        <w:rPr>
          <w:spacing w:val="-14"/>
        </w:rPr>
        <w:t> </w:t>
      </w:r>
      <w:r>
        <w:rPr/>
        <w:t>in</w:t>
      </w:r>
      <w:r>
        <w:rPr>
          <w:spacing w:val="-14"/>
        </w:rPr>
        <w:t> </w:t>
      </w:r>
      <w:r>
        <w:rPr/>
        <w:t>McWherter</w:t>
      </w:r>
      <w:r>
        <w:rPr>
          <w:spacing w:val="-14"/>
        </w:rPr>
        <w:t> </w:t>
      </w:r>
      <w:r>
        <w:rPr/>
        <w:t>Library</w:t>
      </w:r>
      <w:r>
        <w:rPr>
          <w:spacing w:val="-14"/>
        </w:rPr>
        <w:t> </w:t>
      </w:r>
      <w:r>
        <w:rPr/>
        <w:t>and</w:t>
      </w:r>
      <w:r>
        <w:rPr>
          <w:spacing w:val="-14"/>
        </w:rPr>
        <w:t> </w:t>
      </w:r>
      <w:r>
        <w:rPr/>
        <w:t>Manning Hall. The closest iPrint kiosk is in McWherter Library. For a map of all computer labs available on campus, go to</w:t>
      </w:r>
      <w:r>
        <w:rPr>
          <w:spacing w:val="-1"/>
        </w:rPr>
        <w:t> </w:t>
      </w:r>
      <w:hyperlink r:id="rId28">
        <w:r>
          <w:rPr>
            <w:color w:val="0000FF"/>
            <w:u w:val="single" w:color="0000FF"/>
          </w:rPr>
          <w:t>http://trl.memphis.edu/computerlabs.php.</w:t>
        </w:r>
      </w:hyperlink>
    </w:p>
    <w:p>
      <w:pPr>
        <w:pStyle w:val="BodyText"/>
        <w:rPr>
          <w:sz w:val="20"/>
        </w:rPr>
      </w:pPr>
    </w:p>
    <w:p>
      <w:pPr>
        <w:pStyle w:val="BodyText"/>
        <w:spacing w:before="1"/>
      </w:pPr>
    </w:p>
    <w:p>
      <w:pPr>
        <w:pStyle w:val="Heading2"/>
        <w:spacing w:before="100"/>
      </w:pPr>
      <w:r>
        <w:rPr>
          <w:color w:val="1F497C"/>
        </w:rPr>
        <w:t>POLICE SERVICES</w:t>
      </w:r>
    </w:p>
    <w:p>
      <w:pPr>
        <w:pStyle w:val="BodyText"/>
        <w:spacing w:before="240"/>
        <w:ind w:left="863" w:right="213"/>
      </w:pPr>
      <w:r>
        <w:rPr/>
        <w:t>Police Services is dedicated to making The University of Memphis a safe place to learn and work. The emergency number is (901) 678-HELP (4357). For non-emergency calls, the number is (901) 678-3848.</w:t>
      </w:r>
    </w:p>
    <w:p>
      <w:pPr>
        <w:pStyle w:val="BodyText"/>
        <w:spacing w:before="239"/>
        <w:ind w:left="865"/>
      </w:pPr>
      <w:r>
        <w:rPr/>
        <w:t>Also, Police Services offers the Tiger Patrol Escort Program from 6:00 pm to 2:00 am. To request an escort, call 678-HOME (4663).</w:t>
      </w:r>
    </w:p>
    <w:p>
      <w:pPr>
        <w:pStyle w:val="Heading2"/>
        <w:spacing w:before="187"/>
      </w:pPr>
      <w:r>
        <w:rPr>
          <w:color w:val="1F497C"/>
        </w:rPr>
        <w:t>STUDENT HEALTH SERVICES</w:t>
      </w:r>
    </w:p>
    <w:p>
      <w:pPr>
        <w:pStyle w:val="BodyText"/>
        <w:spacing w:before="245"/>
        <w:ind w:left="865" w:right="213"/>
        <w:jc w:val="both"/>
      </w:pPr>
      <w:r>
        <w:rPr/>
        <w:t>Student Health Services is located on the main campus at 3770 Desoto Avenue, south of McWherter Library. Student Health Services treats short-term acute illnesses and injuries and includes a family planning clinic. For more information about Student Health Services, visit </w:t>
      </w:r>
      <w:hyperlink r:id="rId29">
        <w:r>
          <w:rPr>
            <w:color w:val="0000FF"/>
            <w:u w:val="single" w:color="0000FF"/>
          </w:rPr>
          <w:t>http://saweb.memphis.edu/health/General_Information/info.htm.</w:t>
        </w:r>
      </w:hyperlink>
    </w:p>
    <w:p>
      <w:pPr>
        <w:pStyle w:val="BodyText"/>
        <w:rPr>
          <w:sz w:val="20"/>
        </w:rPr>
      </w:pPr>
    </w:p>
    <w:p>
      <w:pPr>
        <w:pStyle w:val="BodyText"/>
        <w:spacing w:before="8"/>
        <w:rPr>
          <w:sz w:val="19"/>
        </w:rPr>
      </w:pPr>
    </w:p>
    <w:p>
      <w:pPr>
        <w:pStyle w:val="Heading2"/>
        <w:spacing w:before="101"/>
      </w:pPr>
      <w:r>
        <w:rPr>
          <w:color w:val="1F497D"/>
        </w:rPr>
        <w:t>COUNSELING CENTER</w:t>
      </w:r>
    </w:p>
    <w:p>
      <w:pPr>
        <w:spacing w:after="0"/>
        <w:sectPr>
          <w:pgSz w:w="12240" w:h="15840"/>
          <w:pgMar w:header="0" w:footer="992" w:top="1380" w:bottom="1180" w:left="300" w:right="920"/>
        </w:sectPr>
      </w:pPr>
    </w:p>
    <w:p>
      <w:pPr>
        <w:pStyle w:val="BodyText"/>
        <w:spacing w:before="183"/>
        <w:ind w:left="865" w:right="199"/>
      </w:pPr>
      <w:r>
        <w:rPr/>
        <w:t>The Counseling Center provides free counseling, wellness, and psychiatric services for University of Memphis students. All services are confidential and most are free of charge for enrolled students. The Counseling Center is open Monday – Thursday 8:00 am – 7:00 pm and Friday 8:00 am – 4:30 pm. The Counseling Center can be contacted at 901.678.2068 or </w:t>
      </w:r>
      <w:hyperlink r:id="rId30">
        <w:r>
          <w:rPr>
            <w:color w:val="0000FF"/>
            <w:u w:val="single" w:color="0000FF"/>
          </w:rPr>
          <w:t>counseling@memphis.edu.</w:t>
        </w:r>
      </w:hyperlink>
    </w:p>
    <w:p>
      <w:pPr>
        <w:pStyle w:val="BodyText"/>
        <w:rPr>
          <w:sz w:val="20"/>
        </w:rPr>
      </w:pPr>
    </w:p>
    <w:p>
      <w:pPr>
        <w:pStyle w:val="BodyText"/>
        <w:rPr>
          <w:sz w:val="20"/>
        </w:rPr>
      </w:pPr>
    </w:p>
    <w:p>
      <w:pPr>
        <w:pStyle w:val="BodyText"/>
        <w:spacing w:before="1"/>
        <w:rPr>
          <w:sz w:val="15"/>
        </w:rPr>
      </w:pPr>
    </w:p>
    <w:p>
      <w:pPr>
        <w:pStyle w:val="Heading2"/>
        <w:spacing w:before="100"/>
      </w:pPr>
      <w:r>
        <w:rPr>
          <w:color w:val="1F497C"/>
        </w:rPr>
        <w:t>EDUCATIONAL SUPPORT PROGRAM (ESP)</w:t>
      </w:r>
    </w:p>
    <w:p>
      <w:pPr>
        <w:pStyle w:val="BodyText"/>
        <w:spacing w:before="240"/>
        <w:ind w:left="865" w:right="212"/>
        <w:jc w:val="both"/>
      </w:pPr>
      <w:r>
        <w:rPr/>
        <w:t>The ESP provides academic assistance for classes that students are currently taking at the U of M. ESP free services are available to graduate and undergraduate students. ESP services include five on- campus learning centers, weekly study sessions, tutors, seminars, and on-line tutoring. To get more information, see </w:t>
      </w:r>
      <w:hyperlink r:id="rId31">
        <w:r>
          <w:rPr>
            <w:color w:val="0000FF"/>
            <w:u w:val="single" w:color="0000FF"/>
          </w:rPr>
          <w:t>http://www.memphis.edu/esp/.</w:t>
        </w:r>
      </w:hyperlink>
    </w:p>
    <w:p>
      <w:pPr>
        <w:pStyle w:val="BodyText"/>
        <w:rPr>
          <w:sz w:val="20"/>
        </w:rPr>
      </w:pPr>
    </w:p>
    <w:p>
      <w:pPr>
        <w:pStyle w:val="BodyText"/>
        <w:rPr>
          <w:sz w:val="20"/>
        </w:rPr>
      </w:pPr>
    </w:p>
    <w:p>
      <w:pPr>
        <w:pStyle w:val="BodyText"/>
        <w:spacing w:before="5"/>
        <w:rPr>
          <w:sz w:val="15"/>
        </w:rPr>
      </w:pPr>
    </w:p>
    <w:p>
      <w:pPr>
        <w:pStyle w:val="Heading2"/>
        <w:spacing w:before="100"/>
      </w:pPr>
      <w:r>
        <w:rPr>
          <w:color w:val="1F497C"/>
        </w:rPr>
        <w:t>DISABILITY RESOURCES FOR STUDENTS</w:t>
      </w:r>
    </w:p>
    <w:p>
      <w:pPr>
        <w:pStyle w:val="BodyText"/>
        <w:spacing w:before="10"/>
        <w:rPr>
          <w:b/>
          <w:sz w:val="22"/>
        </w:rPr>
      </w:pPr>
    </w:p>
    <w:p>
      <w:pPr>
        <w:pStyle w:val="BodyText"/>
        <w:ind w:left="865" w:right="211"/>
        <w:jc w:val="both"/>
      </w:pPr>
      <w:r>
        <w:rPr/>
        <w:t>Disability Resources for Students provides, arranges, and coordinates academic accommodations and support services to qualified students with disabilities to enable them to fully access the educational opportunities at The University of Memphis. To establish eligibility for disability accommodations and services, students are required to register with the Office and provide current medical or psycho- educational documentation of the disability from a professional who is appropriately qualified to diagnose the particular disability.</w:t>
      </w:r>
    </w:p>
    <w:p>
      <w:pPr>
        <w:pStyle w:val="BodyText"/>
        <w:spacing w:before="9"/>
        <w:rPr>
          <w:sz w:val="22"/>
        </w:rPr>
      </w:pPr>
    </w:p>
    <w:p>
      <w:pPr>
        <w:pStyle w:val="BodyText"/>
        <w:ind w:left="865" w:right="215"/>
        <w:jc w:val="both"/>
      </w:pPr>
      <w:r>
        <w:rPr/>
        <w:t>Disability information is strictly confidential, is not released without written consent, and does not appear on transcripts or any permanent record of the University.</w:t>
      </w:r>
    </w:p>
    <w:p>
      <w:pPr>
        <w:pStyle w:val="BodyText"/>
        <w:spacing w:before="9"/>
        <w:rPr>
          <w:sz w:val="22"/>
        </w:rPr>
      </w:pPr>
    </w:p>
    <w:p>
      <w:pPr>
        <w:pStyle w:val="BodyText"/>
        <w:spacing w:before="1"/>
        <w:ind w:left="865" w:right="210"/>
        <w:jc w:val="both"/>
      </w:pPr>
      <w:r>
        <w:rPr/>
        <w:t>Students must follow established university procedures for obtaining accommodations and services. Specific accommodations and services are determined on an individual basis and are based on documented functional limitations resulting from the disability. Services available include orientation to disability services, assessment of disability-related needs, academic accommodation plans each semester, test accommodations, books on tape, note-takers, readers, scribes, interpreters, Braille, enlarged print, loan of adaptive aids and special equipment, adaptive computer lab, guidance and counseling, adapted campus housing, accessible parking, and limited campus shuttle service.</w:t>
      </w:r>
    </w:p>
    <w:p>
      <w:pPr>
        <w:pStyle w:val="BodyText"/>
        <w:spacing w:before="8"/>
        <w:rPr>
          <w:sz w:val="22"/>
        </w:rPr>
      </w:pPr>
    </w:p>
    <w:p>
      <w:pPr>
        <w:pStyle w:val="BodyText"/>
        <w:ind w:left="865" w:right="213"/>
        <w:jc w:val="both"/>
      </w:pPr>
      <w:r>
        <w:rPr/>
        <w:t>Since some services require advance notice, applicants are requested to provide sufficient notice to Disability Resources for Students of anticipated needs and expected date of enrollment. For more detailed information, please contact the Director of Disability Resources for Students at 678-2880 or check out their website: </w:t>
      </w:r>
      <w:hyperlink r:id="rId32">
        <w:r>
          <w:rPr>
            <w:color w:val="0000FF"/>
            <w:u w:val="single" w:color="0000FF"/>
          </w:rPr>
          <w:t>http://www.memphis.edu/drs/.</w:t>
        </w:r>
      </w:hyperlink>
    </w:p>
    <w:p>
      <w:pPr>
        <w:pStyle w:val="BodyText"/>
        <w:rPr>
          <w:sz w:val="20"/>
        </w:rPr>
      </w:pPr>
    </w:p>
    <w:p>
      <w:pPr>
        <w:pStyle w:val="BodyText"/>
        <w:spacing w:before="5"/>
        <w:rPr>
          <w:sz w:val="28"/>
        </w:rPr>
      </w:pPr>
    </w:p>
    <w:p>
      <w:pPr>
        <w:pStyle w:val="Heading2"/>
        <w:spacing w:before="100"/>
      </w:pPr>
      <w:r>
        <w:rPr>
          <w:color w:val="1F497C"/>
        </w:rPr>
        <w:t>MINORITY AFFAIRS</w:t>
      </w:r>
    </w:p>
    <w:p>
      <w:pPr>
        <w:spacing w:after="0"/>
        <w:sectPr>
          <w:pgSz w:w="12240" w:h="15840"/>
          <w:pgMar w:header="0" w:footer="992" w:top="1500" w:bottom="1180" w:left="300" w:right="920"/>
        </w:sectPr>
      </w:pPr>
    </w:p>
    <w:p>
      <w:pPr>
        <w:pStyle w:val="BodyText"/>
        <w:spacing w:before="73"/>
        <w:ind w:left="865" w:right="212"/>
        <w:jc w:val="both"/>
      </w:pPr>
      <w:r>
        <w:rPr/>
        <w:t>The Office of Minority Affairs houses such registered student organizations as the Black Student Association, Black Scholars Unlimited, the Hispanic Student Association, NAACP, and the Minority Association of Pre-Health Students. The office provides a venue where student groups as well as individuals can go to study, use office equipment, and interact with their peers and the office staff. In addition, the office deals with academic, social, and personal concerns that the students may need to address.</w:t>
      </w:r>
    </w:p>
    <w:p>
      <w:pPr>
        <w:pStyle w:val="BodyText"/>
        <w:spacing w:before="9"/>
        <w:rPr>
          <w:sz w:val="22"/>
        </w:rPr>
      </w:pPr>
    </w:p>
    <w:p>
      <w:pPr>
        <w:pStyle w:val="BodyText"/>
        <w:ind w:left="865" w:right="214"/>
        <w:jc w:val="both"/>
      </w:pPr>
      <w:r>
        <w:rPr/>
        <w:t>The Office of Minority Affairs also serves as a resource for students, providing information on scholarships,</w:t>
      </w:r>
      <w:r>
        <w:rPr>
          <w:spacing w:val="-9"/>
        </w:rPr>
        <w:t> </w:t>
      </w:r>
      <w:r>
        <w:rPr/>
        <w:t>internships,</w:t>
      </w:r>
      <w:r>
        <w:rPr>
          <w:spacing w:val="-9"/>
        </w:rPr>
        <w:t> </w:t>
      </w:r>
      <w:r>
        <w:rPr/>
        <w:t>employment</w:t>
      </w:r>
      <w:r>
        <w:rPr>
          <w:spacing w:val="-9"/>
        </w:rPr>
        <w:t> </w:t>
      </w:r>
      <w:r>
        <w:rPr/>
        <w:t>opportunities,</w:t>
      </w:r>
      <w:r>
        <w:rPr>
          <w:spacing w:val="-9"/>
        </w:rPr>
        <w:t> </w:t>
      </w:r>
      <w:r>
        <w:rPr/>
        <w:t>and</w:t>
      </w:r>
      <w:r>
        <w:rPr>
          <w:spacing w:val="-9"/>
        </w:rPr>
        <w:t> </w:t>
      </w:r>
      <w:r>
        <w:rPr/>
        <w:t>community</w:t>
      </w:r>
      <w:r>
        <w:rPr>
          <w:spacing w:val="-9"/>
        </w:rPr>
        <w:t> </w:t>
      </w:r>
      <w:r>
        <w:rPr/>
        <w:t>resources</w:t>
      </w:r>
      <w:r>
        <w:rPr>
          <w:spacing w:val="-9"/>
        </w:rPr>
        <w:t> </w:t>
      </w:r>
      <w:r>
        <w:rPr/>
        <w:t>available</w:t>
      </w:r>
      <w:r>
        <w:rPr>
          <w:spacing w:val="-8"/>
        </w:rPr>
        <w:t> </w:t>
      </w:r>
      <w:r>
        <w:rPr/>
        <w:t>to</w:t>
      </w:r>
      <w:r>
        <w:rPr>
          <w:spacing w:val="-9"/>
        </w:rPr>
        <w:t> </w:t>
      </w:r>
      <w:r>
        <w:rPr/>
        <w:t>them.</w:t>
      </w:r>
      <w:r>
        <w:rPr>
          <w:spacing w:val="-9"/>
        </w:rPr>
        <w:t> </w:t>
      </w:r>
      <w:r>
        <w:rPr/>
        <w:t>The office</w:t>
      </w:r>
      <w:r>
        <w:rPr>
          <w:spacing w:val="-13"/>
        </w:rPr>
        <w:t> </w:t>
      </w:r>
      <w:r>
        <w:rPr/>
        <w:t>also</w:t>
      </w:r>
      <w:r>
        <w:rPr>
          <w:spacing w:val="-12"/>
        </w:rPr>
        <w:t> </w:t>
      </w:r>
      <w:r>
        <w:rPr/>
        <w:t>works</w:t>
      </w:r>
      <w:r>
        <w:rPr>
          <w:spacing w:val="-12"/>
        </w:rPr>
        <w:t> </w:t>
      </w:r>
      <w:r>
        <w:rPr/>
        <w:t>in</w:t>
      </w:r>
      <w:r>
        <w:rPr>
          <w:spacing w:val="-12"/>
        </w:rPr>
        <w:t> </w:t>
      </w:r>
      <w:r>
        <w:rPr/>
        <w:t>conjunction</w:t>
      </w:r>
      <w:r>
        <w:rPr>
          <w:spacing w:val="-12"/>
        </w:rPr>
        <w:t> </w:t>
      </w:r>
      <w:r>
        <w:rPr/>
        <w:t>with</w:t>
      </w:r>
      <w:r>
        <w:rPr>
          <w:spacing w:val="-12"/>
        </w:rPr>
        <w:t> </w:t>
      </w:r>
      <w:r>
        <w:rPr/>
        <w:t>various</w:t>
      </w:r>
      <w:r>
        <w:rPr>
          <w:spacing w:val="-12"/>
        </w:rPr>
        <w:t> </w:t>
      </w:r>
      <w:r>
        <w:rPr/>
        <w:t>other</w:t>
      </w:r>
      <w:r>
        <w:rPr>
          <w:spacing w:val="-12"/>
        </w:rPr>
        <w:t> </w:t>
      </w:r>
      <w:r>
        <w:rPr/>
        <w:t>campus</w:t>
      </w:r>
      <w:r>
        <w:rPr>
          <w:spacing w:val="-12"/>
        </w:rPr>
        <w:t> </w:t>
      </w:r>
      <w:r>
        <w:rPr/>
        <w:t>departments</w:t>
      </w:r>
      <w:r>
        <w:rPr>
          <w:spacing w:val="-12"/>
        </w:rPr>
        <w:t> </w:t>
      </w:r>
      <w:r>
        <w:rPr/>
        <w:t>as</w:t>
      </w:r>
      <w:r>
        <w:rPr>
          <w:spacing w:val="-12"/>
        </w:rPr>
        <w:t> </w:t>
      </w:r>
      <w:r>
        <w:rPr/>
        <w:t>well</w:t>
      </w:r>
      <w:r>
        <w:rPr>
          <w:spacing w:val="-12"/>
        </w:rPr>
        <w:t> </w:t>
      </w:r>
      <w:r>
        <w:rPr/>
        <w:t>as</w:t>
      </w:r>
      <w:r>
        <w:rPr>
          <w:spacing w:val="-12"/>
        </w:rPr>
        <w:t> </w:t>
      </w:r>
      <w:r>
        <w:rPr/>
        <w:t>community</w:t>
      </w:r>
      <w:r>
        <w:rPr>
          <w:spacing w:val="-12"/>
        </w:rPr>
        <w:t> </w:t>
      </w:r>
      <w:r>
        <w:rPr/>
        <w:t>agencies to provide students with services that may assist them in academic and professional</w:t>
      </w:r>
      <w:r>
        <w:rPr>
          <w:spacing w:val="-5"/>
        </w:rPr>
        <w:t> </w:t>
      </w:r>
      <w:r>
        <w:rPr/>
        <w:t>endeavors.</w:t>
      </w:r>
    </w:p>
    <w:p>
      <w:pPr>
        <w:pStyle w:val="BodyText"/>
        <w:spacing w:before="1"/>
        <w:rPr>
          <w:sz w:val="23"/>
        </w:rPr>
      </w:pPr>
    </w:p>
    <w:p>
      <w:pPr>
        <w:pStyle w:val="BodyText"/>
        <w:spacing w:before="1"/>
        <w:ind w:left="865"/>
        <w:jc w:val="both"/>
      </w:pPr>
      <w:r>
        <w:rPr/>
        <w:t>For more information, call 678-2054.</w:t>
      </w:r>
    </w:p>
    <w:p>
      <w:pPr>
        <w:pStyle w:val="BodyText"/>
        <w:rPr>
          <w:sz w:val="28"/>
        </w:rPr>
      </w:pPr>
    </w:p>
    <w:p>
      <w:pPr>
        <w:pStyle w:val="BodyText"/>
        <w:rPr>
          <w:sz w:val="28"/>
        </w:rPr>
      </w:pPr>
    </w:p>
    <w:p>
      <w:pPr>
        <w:pStyle w:val="BodyText"/>
        <w:spacing w:before="6"/>
        <w:rPr>
          <w:sz w:val="37"/>
        </w:rPr>
      </w:pPr>
    </w:p>
    <w:p>
      <w:pPr>
        <w:pStyle w:val="Heading2"/>
        <w:spacing w:before="1"/>
        <w:jc w:val="both"/>
      </w:pPr>
      <w:r>
        <w:rPr>
          <w:color w:val="1F497C"/>
        </w:rPr>
        <w:t>SAFEZONE PROGRAM</w:t>
      </w:r>
    </w:p>
    <w:p>
      <w:pPr>
        <w:pStyle w:val="BodyText"/>
        <w:spacing w:before="2"/>
        <w:rPr>
          <w:b/>
          <w:sz w:val="23"/>
        </w:rPr>
      </w:pPr>
    </w:p>
    <w:p>
      <w:pPr>
        <w:pStyle w:val="BodyText"/>
        <w:ind w:left="865" w:right="212"/>
        <w:jc w:val="both"/>
      </w:pPr>
      <w:r>
        <w:rPr/>
        <w:t>The SafeZone Program at the U of M exists to support gay, lesbian, bisexual, transgender, intersexed, and</w:t>
      </w:r>
      <w:r>
        <w:rPr>
          <w:spacing w:val="-5"/>
        </w:rPr>
        <w:t> </w:t>
      </w:r>
      <w:r>
        <w:rPr/>
        <w:t>questioning</w:t>
      </w:r>
      <w:r>
        <w:rPr>
          <w:spacing w:val="-5"/>
        </w:rPr>
        <w:t> </w:t>
      </w:r>
      <w:r>
        <w:rPr/>
        <w:t>U</w:t>
      </w:r>
      <w:r>
        <w:rPr>
          <w:spacing w:val="-4"/>
        </w:rPr>
        <w:t> </w:t>
      </w:r>
      <w:r>
        <w:rPr/>
        <w:t>of</w:t>
      </w:r>
      <w:r>
        <w:rPr>
          <w:spacing w:val="-5"/>
        </w:rPr>
        <w:t> </w:t>
      </w:r>
      <w:r>
        <w:rPr/>
        <w:t>M</w:t>
      </w:r>
      <w:r>
        <w:rPr>
          <w:spacing w:val="-4"/>
        </w:rPr>
        <w:t> </w:t>
      </w:r>
      <w:r>
        <w:rPr/>
        <w:t>students,</w:t>
      </w:r>
      <w:r>
        <w:rPr>
          <w:spacing w:val="-5"/>
        </w:rPr>
        <w:t> </w:t>
      </w:r>
      <w:r>
        <w:rPr/>
        <w:t>faculty</w:t>
      </w:r>
      <w:r>
        <w:rPr>
          <w:spacing w:val="-5"/>
        </w:rPr>
        <w:t> </w:t>
      </w:r>
      <w:r>
        <w:rPr/>
        <w:t>and</w:t>
      </w:r>
      <w:r>
        <w:rPr>
          <w:spacing w:val="-5"/>
        </w:rPr>
        <w:t> </w:t>
      </w:r>
      <w:r>
        <w:rPr/>
        <w:t>staff,</w:t>
      </w:r>
      <w:r>
        <w:rPr>
          <w:spacing w:val="-4"/>
        </w:rPr>
        <w:t> </w:t>
      </w:r>
      <w:r>
        <w:rPr/>
        <w:t>to</w:t>
      </w:r>
      <w:r>
        <w:rPr>
          <w:spacing w:val="-5"/>
        </w:rPr>
        <w:t> </w:t>
      </w:r>
      <w:r>
        <w:rPr/>
        <w:t>improve</w:t>
      </w:r>
      <w:r>
        <w:rPr>
          <w:spacing w:val="-4"/>
        </w:rPr>
        <w:t> </w:t>
      </w:r>
      <w:r>
        <w:rPr/>
        <w:t>the</w:t>
      </w:r>
      <w:r>
        <w:rPr>
          <w:spacing w:val="-5"/>
        </w:rPr>
        <w:t> </w:t>
      </w:r>
      <w:r>
        <w:rPr/>
        <w:t>overall</w:t>
      </w:r>
      <w:r>
        <w:rPr>
          <w:spacing w:val="-4"/>
        </w:rPr>
        <w:t> </w:t>
      </w:r>
      <w:r>
        <w:rPr/>
        <w:t>U</w:t>
      </w:r>
      <w:r>
        <w:rPr>
          <w:spacing w:val="-5"/>
        </w:rPr>
        <w:t> </w:t>
      </w:r>
      <w:r>
        <w:rPr/>
        <w:t>of</w:t>
      </w:r>
      <w:r>
        <w:rPr>
          <w:spacing w:val="-4"/>
        </w:rPr>
        <w:t> </w:t>
      </w:r>
      <w:r>
        <w:rPr/>
        <w:t>M</w:t>
      </w:r>
      <w:r>
        <w:rPr>
          <w:spacing w:val="-5"/>
        </w:rPr>
        <w:t> </w:t>
      </w:r>
      <w:r>
        <w:rPr/>
        <w:t>campus</w:t>
      </w:r>
      <w:r>
        <w:rPr>
          <w:spacing w:val="-4"/>
        </w:rPr>
        <w:t> </w:t>
      </w:r>
      <w:r>
        <w:rPr/>
        <w:t>environment and to educate the entire campus community on concerns relating to GLBTIQ issues. The University</w:t>
      </w:r>
      <w:r>
        <w:rPr>
          <w:spacing w:val="-21"/>
        </w:rPr>
        <w:t> </w:t>
      </w:r>
      <w:r>
        <w:rPr/>
        <w:t>of Memphis’ commitment to diversity and civility undergirds the SafeZone Program’s efforts to support the</w:t>
      </w:r>
      <w:r>
        <w:rPr>
          <w:spacing w:val="-13"/>
        </w:rPr>
        <w:t> </w:t>
      </w:r>
      <w:r>
        <w:rPr/>
        <w:t>GLBTIQ</w:t>
      </w:r>
      <w:r>
        <w:rPr>
          <w:spacing w:val="-13"/>
        </w:rPr>
        <w:t> </w:t>
      </w:r>
      <w:r>
        <w:rPr/>
        <w:t>community</w:t>
      </w:r>
      <w:r>
        <w:rPr>
          <w:spacing w:val="-12"/>
        </w:rPr>
        <w:t> </w:t>
      </w:r>
      <w:r>
        <w:rPr/>
        <w:t>on</w:t>
      </w:r>
      <w:r>
        <w:rPr>
          <w:spacing w:val="-13"/>
        </w:rPr>
        <w:t> </w:t>
      </w:r>
      <w:r>
        <w:rPr/>
        <w:t>campus.</w:t>
      </w:r>
      <w:r>
        <w:rPr>
          <w:spacing w:val="-13"/>
        </w:rPr>
        <w:t> </w:t>
      </w:r>
      <w:r>
        <w:rPr/>
        <w:t>SafeZone</w:t>
      </w:r>
      <w:r>
        <w:rPr>
          <w:spacing w:val="-12"/>
        </w:rPr>
        <w:t> </w:t>
      </w:r>
      <w:r>
        <w:rPr/>
        <w:t>certification</w:t>
      </w:r>
      <w:r>
        <w:rPr>
          <w:spacing w:val="-13"/>
        </w:rPr>
        <w:t> </w:t>
      </w:r>
      <w:r>
        <w:rPr/>
        <w:t>is</w:t>
      </w:r>
      <w:r>
        <w:rPr>
          <w:spacing w:val="-12"/>
        </w:rPr>
        <w:t> </w:t>
      </w:r>
      <w:r>
        <w:rPr/>
        <w:t>available</w:t>
      </w:r>
      <w:r>
        <w:rPr>
          <w:spacing w:val="-13"/>
        </w:rPr>
        <w:t> </w:t>
      </w:r>
      <w:r>
        <w:rPr/>
        <w:t>to</w:t>
      </w:r>
      <w:r>
        <w:rPr>
          <w:spacing w:val="-13"/>
        </w:rPr>
        <w:t> </w:t>
      </w:r>
      <w:r>
        <w:rPr/>
        <w:t>all</w:t>
      </w:r>
      <w:r>
        <w:rPr>
          <w:spacing w:val="-12"/>
        </w:rPr>
        <w:t> </w:t>
      </w:r>
      <w:r>
        <w:rPr/>
        <w:t>University</w:t>
      </w:r>
      <w:r>
        <w:rPr>
          <w:spacing w:val="-13"/>
        </w:rPr>
        <w:t> </w:t>
      </w:r>
      <w:r>
        <w:rPr/>
        <w:t>of</w:t>
      </w:r>
      <w:r>
        <w:rPr>
          <w:spacing w:val="-13"/>
        </w:rPr>
        <w:t> </w:t>
      </w:r>
      <w:r>
        <w:rPr/>
        <w:t>Memphis</w:t>
      </w:r>
      <w:r>
        <w:rPr>
          <w:spacing w:val="-12"/>
        </w:rPr>
        <w:t> </w:t>
      </w:r>
      <w:r>
        <w:rPr/>
        <w:t>staff, faculty, and student allies. For more information, visit </w:t>
      </w:r>
      <w:hyperlink r:id="rId33">
        <w:r>
          <w:rPr>
            <w:color w:val="0000FF"/>
            <w:u w:val="single" w:color="0000FF"/>
          </w:rPr>
          <w:t>www.memphis.edu/safezone </w:t>
        </w:r>
        <w:r>
          <w:rPr/>
          <w:t>or </w:t>
        </w:r>
      </w:hyperlink>
      <w:r>
        <w:rPr/>
        <w:t>call 901-678- 2068.</w:t>
      </w:r>
    </w:p>
    <w:p>
      <w:pPr>
        <w:pStyle w:val="BodyText"/>
        <w:rPr>
          <w:sz w:val="28"/>
        </w:rPr>
      </w:pPr>
    </w:p>
    <w:p>
      <w:pPr>
        <w:pStyle w:val="BodyText"/>
        <w:spacing w:before="2"/>
        <w:rPr>
          <w:sz w:val="35"/>
        </w:rPr>
      </w:pPr>
    </w:p>
    <w:p>
      <w:pPr>
        <w:pStyle w:val="Heading2"/>
        <w:jc w:val="both"/>
      </w:pPr>
      <w:r>
        <w:rPr>
          <w:color w:val="1F497C"/>
        </w:rPr>
        <w:t>INTERNATIONAL STUDENTS OFFICE</w:t>
      </w:r>
    </w:p>
    <w:p>
      <w:pPr>
        <w:pStyle w:val="BodyText"/>
        <w:spacing w:before="10"/>
        <w:rPr>
          <w:b/>
          <w:sz w:val="22"/>
        </w:rPr>
      </w:pPr>
    </w:p>
    <w:p>
      <w:pPr>
        <w:pStyle w:val="BodyText"/>
        <w:ind w:left="865" w:right="212"/>
        <w:jc w:val="both"/>
      </w:pPr>
      <w:r>
        <w:rPr/>
        <w:t>The</w:t>
      </w:r>
      <w:r>
        <w:rPr>
          <w:spacing w:val="-9"/>
        </w:rPr>
        <w:t> </w:t>
      </w:r>
      <w:r>
        <w:rPr/>
        <w:t>Center</w:t>
      </w:r>
      <w:r>
        <w:rPr>
          <w:spacing w:val="-9"/>
        </w:rPr>
        <w:t> </w:t>
      </w:r>
      <w:r>
        <w:rPr/>
        <w:t>for</w:t>
      </w:r>
      <w:r>
        <w:rPr>
          <w:spacing w:val="-9"/>
        </w:rPr>
        <w:t> </w:t>
      </w:r>
      <w:r>
        <w:rPr/>
        <w:t>International</w:t>
      </w:r>
      <w:r>
        <w:rPr>
          <w:spacing w:val="-9"/>
        </w:rPr>
        <w:t> </w:t>
      </w:r>
      <w:r>
        <w:rPr/>
        <w:t>Programs</w:t>
      </w:r>
      <w:r>
        <w:rPr>
          <w:spacing w:val="-9"/>
        </w:rPr>
        <w:t> </w:t>
      </w:r>
      <w:r>
        <w:rPr/>
        <w:t>and</w:t>
      </w:r>
      <w:r>
        <w:rPr>
          <w:spacing w:val="-8"/>
        </w:rPr>
        <w:t> </w:t>
      </w:r>
      <w:r>
        <w:rPr/>
        <w:t>Services</w:t>
      </w:r>
      <w:r>
        <w:rPr>
          <w:spacing w:val="-9"/>
        </w:rPr>
        <w:t> </w:t>
      </w:r>
      <w:r>
        <w:rPr/>
        <w:t>(CIPS)</w:t>
      </w:r>
      <w:r>
        <w:rPr>
          <w:spacing w:val="-9"/>
        </w:rPr>
        <w:t> </w:t>
      </w:r>
      <w:r>
        <w:rPr/>
        <w:t>advises</w:t>
      </w:r>
      <w:r>
        <w:rPr>
          <w:spacing w:val="-9"/>
        </w:rPr>
        <w:t> </w:t>
      </w:r>
      <w:r>
        <w:rPr/>
        <w:t>international</w:t>
      </w:r>
      <w:r>
        <w:rPr>
          <w:spacing w:val="-9"/>
        </w:rPr>
        <w:t> </w:t>
      </w:r>
      <w:r>
        <w:rPr/>
        <w:t>students,</w:t>
      </w:r>
      <w:r>
        <w:rPr>
          <w:spacing w:val="38"/>
        </w:rPr>
        <w:t> </w:t>
      </w:r>
      <w:r>
        <w:rPr/>
        <w:t>faculty,</w:t>
      </w:r>
      <w:r>
        <w:rPr>
          <w:spacing w:val="-9"/>
        </w:rPr>
        <w:t> </w:t>
      </w:r>
      <w:r>
        <w:rPr/>
        <w:t>staff, visiting scholars, and researchers regarding federal regulations from the Department of Homeland Security, and Immigration and Customs Enforcement; health insurance matters; and employment issues. In addition, the Center prepares federal documents necessary for internationals in certain visa categories, as well as meeting the SEVIS requirements set by the U.S. Department of Homeland Security.</w:t>
      </w:r>
    </w:p>
    <w:p>
      <w:pPr>
        <w:pStyle w:val="BodyText"/>
        <w:spacing w:before="1"/>
        <w:rPr>
          <w:sz w:val="23"/>
        </w:rPr>
      </w:pPr>
    </w:p>
    <w:p>
      <w:pPr>
        <w:pStyle w:val="BodyText"/>
        <w:spacing w:before="1"/>
        <w:ind w:left="865" w:right="212"/>
        <w:jc w:val="both"/>
      </w:pPr>
      <w:r>
        <w:rPr/>
        <w:t>The Center produces the federally mandated orientation for F-1 and J-1 visa holders new to campus. CIPS also frequently provides this information for in-country dependent family members of students, faculty, and researchers on campus, as well as to international applicants to the University and area colleges and University staff.</w:t>
      </w:r>
    </w:p>
    <w:p>
      <w:pPr>
        <w:pStyle w:val="BodyText"/>
        <w:spacing w:before="5"/>
        <w:rPr>
          <w:sz w:val="29"/>
        </w:rPr>
      </w:pPr>
    </w:p>
    <w:p>
      <w:pPr>
        <w:pStyle w:val="BodyText"/>
        <w:ind w:left="865"/>
        <w:jc w:val="both"/>
      </w:pPr>
      <w:r>
        <w:rPr/>
        <w:t>The Center for International Programs and Services advises the International Students Association and</w:t>
      </w:r>
    </w:p>
    <w:p>
      <w:pPr>
        <w:spacing w:after="0"/>
        <w:jc w:val="both"/>
        <w:sectPr>
          <w:pgSz w:w="12240" w:h="15840"/>
          <w:pgMar w:header="0" w:footer="992" w:top="1380" w:bottom="1180" w:left="300" w:right="920"/>
        </w:sectPr>
      </w:pPr>
    </w:p>
    <w:p>
      <w:pPr>
        <w:pStyle w:val="BodyText"/>
        <w:spacing w:before="73"/>
        <w:ind w:left="865" w:right="211"/>
        <w:jc w:val="both"/>
      </w:pPr>
      <w:r>
        <w:rPr/>
        <w:t>several other international student clubs. Annual events include International Night, International Education Week, Diwali, and India Fest among various other cultural events. For more information, please visit Brister 102, call 678-4271, or visit the website at: </w:t>
      </w:r>
      <w:hyperlink r:id="rId34">
        <w:r>
          <w:rPr>
            <w:color w:val="0000FF"/>
            <w:u w:val="single" w:color="0000FF"/>
          </w:rPr>
          <w:t>http://cipsweb.memphis.edu</w:t>
        </w:r>
        <w:r>
          <w:rPr/>
          <w:t>.</w:t>
        </w:r>
      </w:hyperlink>
    </w:p>
    <w:p>
      <w:pPr>
        <w:pStyle w:val="BodyText"/>
        <w:rPr>
          <w:sz w:val="20"/>
        </w:rPr>
      </w:pPr>
    </w:p>
    <w:p>
      <w:pPr>
        <w:pStyle w:val="BodyText"/>
        <w:rPr>
          <w:sz w:val="20"/>
        </w:rPr>
      </w:pPr>
    </w:p>
    <w:p>
      <w:pPr>
        <w:pStyle w:val="BodyText"/>
        <w:spacing w:before="2"/>
        <w:rPr>
          <w:sz w:val="18"/>
        </w:rPr>
      </w:pPr>
    </w:p>
    <w:p>
      <w:pPr>
        <w:pStyle w:val="Heading2"/>
        <w:spacing w:before="101"/>
      </w:pPr>
      <w:r>
        <w:rPr>
          <w:color w:val="1F497C"/>
        </w:rPr>
        <w:t>CAREER CENTER</w:t>
      </w:r>
    </w:p>
    <w:p>
      <w:pPr>
        <w:pStyle w:val="BodyText"/>
        <w:spacing w:before="240"/>
        <w:ind w:left="865" w:right="214"/>
        <w:jc w:val="both"/>
      </w:pPr>
      <w:r>
        <w:rPr/>
        <w:t>Career Services works with students during all phases of the career development process. Services include individual career planning, resume critiquing, mock interviewing, internship preparation, and job search preparation. Career services also seeks to build strong partnerships with the university and Memphis community at-large. Visit Career Services at 400 Wilder Tower or see </w:t>
      </w:r>
      <w:hyperlink r:id="rId35">
        <w:r>
          <w:rPr>
            <w:color w:val="0000FF"/>
            <w:u w:val="single" w:color="0000FF"/>
          </w:rPr>
          <w:t>http://www.memphis.edu/careerservices/.</w:t>
        </w:r>
      </w:hyperlink>
    </w:p>
    <w:p>
      <w:pPr>
        <w:pStyle w:val="BodyText"/>
        <w:rPr>
          <w:sz w:val="20"/>
        </w:rPr>
      </w:pPr>
    </w:p>
    <w:p>
      <w:pPr>
        <w:pStyle w:val="BodyText"/>
        <w:rPr>
          <w:sz w:val="20"/>
        </w:rPr>
      </w:pPr>
    </w:p>
    <w:p>
      <w:pPr>
        <w:pStyle w:val="BodyText"/>
        <w:rPr>
          <w:sz w:val="15"/>
        </w:rPr>
      </w:pPr>
    </w:p>
    <w:p>
      <w:pPr>
        <w:pStyle w:val="Heading2"/>
        <w:spacing w:before="100"/>
      </w:pPr>
      <w:r>
        <w:rPr>
          <w:color w:val="1F497C"/>
        </w:rPr>
        <w:t>ADULT AND COMMUTER STUDENT SERVICES</w:t>
      </w:r>
    </w:p>
    <w:p>
      <w:pPr>
        <w:pStyle w:val="BodyText"/>
        <w:spacing w:before="240"/>
        <w:ind w:left="863" w:right="215"/>
        <w:jc w:val="both"/>
      </w:pPr>
      <w:r>
        <w:rPr/>
        <w:t>Adult and Commuter Student Services fosters an atmosphere where students who are juggling</w:t>
      </w:r>
      <w:r>
        <w:rPr>
          <w:spacing w:val="-36"/>
        </w:rPr>
        <w:t> </w:t>
      </w:r>
      <w:r>
        <w:rPr/>
        <w:t>college along</w:t>
      </w:r>
      <w:r>
        <w:rPr>
          <w:spacing w:val="-5"/>
        </w:rPr>
        <w:t> </w:t>
      </w:r>
      <w:r>
        <w:rPr/>
        <w:t>with</w:t>
      </w:r>
      <w:r>
        <w:rPr>
          <w:spacing w:val="-5"/>
        </w:rPr>
        <w:t> </w:t>
      </w:r>
      <w:r>
        <w:rPr/>
        <w:t>work</w:t>
      </w:r>
      <w:r>
        <w:rPr>
          <w:spacing w:val="-5"/>
        </w:rPr>
        <w:t> </w:t>
      </w:r>
      <w:r>
        <w:rPr/>
        <w:t>and</w:t>
      </w:r>
      <w:r>
        <w:rPr>
          <w:spacing w:val="-5"/>
        </w:rPr>
        <w:t> </w:t>
      </w:r>
      <w:r>
        <w:rPr/>
        <w:t>family</w:t>
      </w:r>
      <w:r>
        <w:rPr>
          <w:spacing w:val="-4"/>
        </w:rPr>
        <w:t> </w:t>
      </w:r>
      <w:r>
        <w:rPr/>
        <w:t>responsibilities</w:t>
      </w:r>
      <w:r>
        <w:rPr>
          <w:spacing w:val="-5"/>
        </w:rPr>
        <w:t> </w:t>
      </w:r>
      <w:r>
        <w:rPr/>
        <w:t>can</w:t>
      </w:r>
      <w:r>
        <w:rPr>
          <w:spacing w:val="-5"/>
        </w:rPr>
        <w:t> </w:t>
      </w:r>
      <w:r>
        <w:rPr/>
        <w:t>gather</w:t>
      </w:r>
      <w:r>
        <w:rPr>
          <w:spacing w:val="-5"/>
        </w:rPr>
        <w:t> </w:t>
      </w:r>
      <w:r>
        <w:rPr/>
        <w:t>and</w:t>
      </w:r>
      <w:r>
        <w:rPr>
          <w:spacing w:val="-4"/>
        </w:rPr>
        <w:t> </w:t>
      </w:r>
      <w:r>
        <w:rPr/>
        <w:t>interact</w:t>
      </w:r>
      <w:r>
        <w:rPr>
          <w:spacing w:val="-5"/>
        </w:rPr>
        <w:t> </w:t>
      </w:r>
      <w:r>
        <w:rPr/>
        <w:t>in</w:t>
      </w:r>
      <w:r>
        <w:rPr>
          <w:spacing w:val="-5"/>
        </w:rPr>
        <w:t> </w:t>
      </w:r>
      <w:r>
        <w:rPr/>
        <w:t>a</w:t>
      </w:r>
      <w:r>
        <w:rPr>
          <w:spacing w:val="-5"/>
        </w:rPr>
        <w:t> </w:t>
      </w:r>
      <w:r>
        <w:rPr/>
        <w:t>supportive</w:t>
      </w:r>
      <w:r>
        <w:rPr>
          <w:spacing w:val="-4"/>
        </w:rPr>
        <w:t> </w:t>
      </w:r>
      <w:r>
        <w:rPr/>
        <w:t>environment</w:t>
      </w:r>
      <w:r>
        <w:rPr>
          <w:spacing w:val="-5"/>
        </w:rPr>
        <w:t> </w:t>
      </w:r>
      <w:r>
        <w:rPr/>
        <w:t>where they can truly connect with other adult and</w:t>
      </w:r>
      <w:r>
        <w:rPr>
          <w:spacing w:val="2"/>
        </w:rPr>
        <w:t> </w:t>
      </w:r>
      <w:r>
        <w:rPr/>
        <w:t>commuterstudents.</w:t>
      </w:r>
    </w:p>
    <w:p>
      <w:pPr>
        <w:pStyle w:val="BodyText"/>
        <w:spacing w:before="239"/>
        <w:ind w:left="863" w:right="214"/>
        <w:jc w:val="both"/>
      </w:pPr>
      <w:r>
        <w:rPr/>
        <w:t>The</w:t>
      </w:r>
      <w:r>
        <w:rPr>
          <w:spacing w:val="-7"/>
        </w:rPr>
        <w:t> </w:t>
      </w:r>
      <w:r>
        <w:rPr/>
        <w:t>mission</w:t>
      </w:r>
      <w:r>
        <w:rPr>
          <w:spacing w:val="-7"/>
        </w:rPr>
        <w:t> </w:t>
      </w:r>
      <w:r>
        <w:rPr/>
        <w:t>of</w:t>
      </w:r>
      <w:r>
        <w:rPr>
          <w:spacing w:val="-6"/>
        </w:rPr>
        <w:t> </w:t>
      </w:r>
      <w:r>
        <w:rPr/>
        <w:t>the</w:t>
      </w:r>
      <w:r>
        <w:rPr>
          <w:spacing w:val="-7"/>
        </w:rPr>
        <w:t> </w:t>
      </w:r>
      <w:r>
        <w:rPr/>
        <w:t>Adult</w:t>
      </w:r>
      <w:r>
        <w:rPr>
          <w:spacing w:val="-6"/>
        </w:rPr>
        <w:t> </w:t>
      </w:r>
      <w:r>
        <w:rPr/>
        <w:t>and</w:t>
      </w:r>
      <w:r>
        <w:rPr>
          <w:spacing w:val="-7"/>
        </w:rPr>
        <w:t> </w:t>
      </w:r>
      <w:r>
        <w:rPr/>
        <w:t>Commuter</w:t>
      </w:r>
      <w:r>
        <w:rPr>
          <w:spacing w:val="-6"/>
        </w:rPr>
        <w:t> </w:t>
      </w:r>
      <w:r>
        <w:rPr/>
        <w:t>Student</w:t>
      </w:r>
      <w:r>
        <w:rPr>
          <w:spacing w:val="-7"/>
        </w:rPr>
        <w:t> </w:t>
      </w:r>
      <w:r>
        <w:rPr/>
        <w:t>Services</w:t>
      </w:r>
      <w:r>
        <w:rPr>
          <w:spacing w:val="-6"/>
        </w:rPr>
        <w:t> </w:t>
      </w:r>
      <w:r>
        <w:rPr/>
        <w:t>office</w:t>
      </w:r>
      <w:r>
        <w:rPr>
          <w:spacing w:val="-7"/>
        </w:rPr>
        <w:t> </w:t>
      </w:r>
      <w:r>
        <w:rPr/>
        <w:t>is</w:t>
      </w:r>
      <w:r>
        <w:rPr>
          <w:spacing w:val="-6"/>
        </w:rPr>
        <w:t> </w:t>
      </w:r>
      <w:r>
        <w:rPr/>
        <w:t>to</w:t>
      </w:r>
      <w:r>
        <w:rPr>
          <w:spacing w:val="-7"/>
        </w:rPr>
        <w:t> </w:t>
      </w:r>
      <w:r>
        <w:rPr/>
        <w:t>provide</w:t>
      </w:r>
      <w:r>
        <w:rPr>
          <w:spacing w:val="-6"/>
        </w:rPr>
        <w:t> </w:t>
      </w:r>
      <w:r>
        <w:rPr/>
        <w:t>a</w:t>
      </w:r>
      <w:r>
        <w:rPr>
          <w:spacing w:val="-7"/>
        </w:rPr>
        <w:t> </w:t>
      </w:r>
      <w:r>
        <w:rPr/>
        <w:t>supportive</w:t>
      </w:r>
      <w:r>
        <w:rPr>
          <w:spacing w:val="-6"/>
        </w:rPr>
        <w:t> </w:t>
      </w:r>
      <w:r>
        <w:rPr/>
        <w:t>environment for</w:t>
      </w:r>
      <w:r>
        <w:rPr>
          <w:spacing w:val="-11"/>
        </w:rPr>
        <w:t> </w:t>
      </w:r>
      <w:r>
        <w:rPr/>
        <w:t>non-traditional</w:t>
      </w:r>
      <w:r>
        <w:rPr>
          <w:spacing w:val="-10"/>
        </w:rPr>
        <w:t> </w:t>
      </w:r>
      <w:r>
        <w:rPr/>
        <w:t>and</w:t>
      </w:r>
      <w:r>
        <w:rPr>
          <w:spacing w:val="-10"/>
        </w:rPr>
        <w:t> </w:t>
      </w:r>
      <w:r>
        <w:rPr/>
        <w:t>commuter</w:t>
      </w:r>
      <w:r>
        <w:rPr>
          <w:spacing w:val="-10"/>
        </w:rPr>
        <w:t> </w:t>
      </w:r>
      <w:r>
        <w:rPr/>
        <w:t>students</w:t>
      </w:r>
      <w:r>
        <w:rPr>
          <w:spacing w:val="-10"/>
        </w:rPr>
        <w:t> </w:t>
      </w:r>
      <w:r>
        <w:rPr/>
        <w:t>that</w:t>
      </w:r>
      <w:r>
        <w:rPr>
          <w:spacing w:val="-10"/>
        </w:rPr>
        <w:t> </w:t>
      </w:r>
      <w:r>
        <w:rPr/>
        <w:t>promotes</w:t>
      </w:r>
      <w:r>
        <w:rPr>
          <w:spacing w:val="-10"/>
        </w:rPr>
        <w:t> </w:t>
      </w:r>
      <w:r>
        <w:rPr/>
        <w:t>intellectual,</w:t>
      </w:r>
      <w:r>
        <w:rPr>
          <w:spacing w:val="-11"/>
        </w:rPr>
        <w:t> </w:t>
      </w:r>
      <w:r>
        <w:rPr/>
        <w:t>social</w:t>
      </w:r>
      <w:r>
        <w:rPr>
          <w:spacing w:val="-10"/>
        </w:rPr>
        <w:t> </w:t>
      </w:r>
      <w:r>
        <w:rPr/>
        <w:t>and</w:t>
      </w:r>
      <w:r>
        <w:rPr>
          <w:spacing w:val="-10"/>
        </w:rPr>
        <w:t> </w:t>
      </w:r>
      <w:r>
        <w:rPr/>
        <w:t>academic</w:t>
      </w:r>
      <w:r>
        <w:rPr>
          <w:spacing w:val="-10"/>
        </w:rPr>
        <w:t> </w:t>
      </w:r>
      <w:r>
        <w:rPr/>
        <w:t>growth</w:t>
      </w:r>
      <w:r>
        <w:rPr>
          <w:spacing w:val="-10"/>
        </w:rPr>
        <w:t> </w:t>
      </w:r>
      <w:r>
        <w:rPr/>
        <w:t>and development through services and programs that foster lifelong</w:t>
      </w:r>
      <w:r>
        <w:rPr>
          <w:spacing w:val="-2"/>
        </w:rPr>
        <w:t> </w:t>
      </w:r>
      <w:r>
        <w:rPr/>
        <w:t>learning.</w:t>
      </w:r>
    </w:p>
    <w:p>
      <w:pPr>
        <w:pStyle w:val="BodyText"/>
        <w:spacing w:before="240"/>
        <w:ind w:left="865" w:right="862"/>
      </w:pPr>
      <w:r>
        <w:rPr/>
        <w:t>Adult and Commuter Student Services offers information about child care, off-campus housing, scholarships, and many other topics. More information can be gained here: </w:t>
      </w:r>
      <w:hyperlink r:id="rId36">
        <w:r>
          <w:rPr>
            <w:color w:val="0000FF"/>
            <w:u w:val="single" w:color="0000FF"/>
          </w:rPr>
          <w:t>http://www.memphis.edu/acss/.</w:t>
        </w:r>
      </w:hyperlink>
    </w:p>
    <w:p>
      <w:pPr>
        <w:pStyle w:val="BodyText"/>
        <w:rPr>
          <w:sz w:val="20"/>
        </w:rPr>
      </w:pPr>
    </w:p>
    <w:p>
      <w:pPr>
        <w:pStyle w:val="BodyText"/>
        <w:spacing w:before="5"/>
        <w:rPr>
          <w:sz w:val="15"/>
        </w:rPr>
      </w:pPr>
    </w:p>
    <w:p>
      <w:pPr>
        <w:pStyle w:val="Heading2"/>
        <w:spacing w:before="100"/>
      </w:pPr>
      <w:r>
        <w:rPr>
          <w:color w:val="1F497C"/>
        </w:rPr>
        <w:t>VETERANS RESOURCE CENTER</w:t>
      </w:r>
    </w:p>
    <w:p>
      <w:pPr>
        <w:pStyle w:val="BodyText"/>
        <w:spacing w:before="240"/>
        <w:ind w:left="865" w:right="213"/>
        <w:jc w:val="both"/>
      </w:pPr>
      <w:r>
        <w:rPr/>
        <w:t>The Veterans Resource Center is located in 110 Panhellenic Bldg. The Veterans Resource</w:t>
      </w:r>
      <w:r>
        <w:rPr>
          <w:spacing w:val="-32"/>
        </w:rPr>
        <w:t> </w:t>
      </w:r>
      <w:r>
        <w:rPr/>
        <w:t>Center offers monthly</w:t>
      </w:r>
      <w:r>
        <w:rPr>
          <w:spacing w:val="-10"/>
        </w:rPr>
        <w:t> </w:t>
      </w:r>
      <w:r>
        <w:rPr/>
        <w:t>seminars,</w:t>
      </w:r>
      <w:r>
        <w:rPr>
          <w:spacing w:val="-10"/>
        </w:rPr>
        <w:t> </w:t>
      </w:r>
      <w:r>
        <w:rPr/>
        <w:t>Memphis</w:t>
      </w:r>
      <w:r>
        <w:rPr>
          <w:spacing w:val="-10"/>
        </w:rPr>
        <w:t> </w:t>
      </w:r>
      <w:r>
        <w:rPr/>
        <w:t>VA</w:t>
      </w:r>
      <w:r>
        <w:rPr>
          <w:spacing w:val="-9"/>
        </w:rPr>
        <w:t> </w:t>
      </w:r>
      <w:r>
        <w:rPr/>
        <w:t>Medical</w:t>
      </w:r>
      <w:r>
        <w:rPr>
          <w:spacing w:val="-9"/>
        </w:rPr>
        <w:t> </w:t>
      </w:r>
      <w:r>
        <w:rPr/>
        <w:t>Center</w:t>
      </w:r>
      <w:r>
        <w:rPr>
          <w:spacing w:val="-10"/>
        </w:rPr>
        <w:t> </w:t>
      </w:r>
      <w:r>
        <w:rPr/>
        <w:t>Outreach,</w:t>
      </w:r>
      <w:r>
        <w:rPr>
          <w:spacing w:val="-10"/>
        </w:rPr>
        <w:t> </w:t>
      </w:r>
      <w:r>
        <w:rPr/>
        <w:t>counseling</w:t>
      </w:r>
      <w:r>
        <w:rPr>
          <w:spacing w:val="-9"/>
        </w:rPr>
        <w:t> </w:t>
      </w:r>
      <w:r>
        <w:rPr/>
        <w:t>services,</w:t>
      </w:r>
      <w:r>
        <w:rPr>
          <w:spacing w:val="-10"/>
        </w:rPr>
        <w:t> </w:t>
      </w:r>
      <w:r>
        <w:rPr/>
        <w:t>and</w:t>
      </w:r>
      <w:r>
        <w:rPr>
          <w:spacing w:val="-9"/>
        </w:rPr>
        <w:t> </w:t>
      </w:r>
      <w:r>
        <w:rPr/>
        <w:t>referrals</w:t>
      </w:r>
      <w:r>
        <w:rPr>
          <w:spacing w:val="-9"/>
        </w:rPr>
        <w:t> </w:t>
      </w:r>
      <w:r>
        <w:rPr/>
        <w:t>to</w:t>
      </w:r>
      <w:r>
        <w:rPr>
          <w:spacing w:val="-9"/>
        </w:rPr>
        <w:t> </w:t>
      </w:r>
      <w:r>
        <w:rPr/>
        <w:t>campus and community services. Contact them at (901) 678-4269 or </w:t>
      </w:r>
      <w:hyperlink r:id="rId37">
        <w:r>
          <w:rPr>
            <w:color w:val="0000FF"/>
            <w:u w:val="single" w:color="0000FF"/>
          </w:rPr>
          <w:t>veterans@memphis.edu</w:t>
        </w:r>
        <w:r>
          <w:rPr/>
          <w:t>.</w:t>
        </w:r>
      </w:hyperlink>
      <w:r>
        <w:rPr/>
        <w:t> More information</w:t>
      </w:r>
      <w:r>
        <w:rPr>
          <w:spacing w:val="-12"/>
        </w:rPr>
        <w:t> </w:t>
      </w:r>
      <w:r>
        <w:rPr/>
        <w:t>can</w:t>
      </w:r>
      <w:r>
        <w:rPr>
          <w:spacing w:val="-11"/>
        </w:rPr>
        <w:t> </w:t>
      </w:r>
      <w:r>
        <w:rPr/>
        <w:t>be</w:t>
      </w:r>
      <w:r>
        <w:rPr>
          <w:spacing w:val="-10"/>
        </w:rPr>
        <w:t> </w:t>
      </w:r>
      <w:r>
        <w:rPr/>
        <w:t>gained</w:t>
      </w:r>
      <w:r>
        <w:rPr>
          <w:spacing w:val="-11"/>
        </w:rPr>
        <w:t> </w:t>
      </w:r>
      <w:r>
        <w:rPr/>
        <w:t>here:</w:t>
      </w:r>
      <w:r>
        <w:rPr>
          <w:spacing w:val="-10"/>
        </w:rPr>
        <w:t> </w:t>
      </w:r>
      <w:hyperlink r:id="rId38">
        <w:r>
          <w:rPr>
            <w:color w:val="0000FF"/>
            <w:u w:val="single" w:color="0000FF"/>
          </w:rPr>
          <w:t>http://www.memphis.edu/veterans/.</w:t>
        </w:r>
      </w:hyperlink>
    </w:p>
    <w:p>
      <w:pPr>
        <w:spacing w:after="0"/>
        <w:jc w:val="both"/>
        <w:sectPr>
          <w:pgSz w:w="12240" w:h="15840"/>
          <w:pgMar w:header="0" w:footer="992" w:top="1380" w:bottom="1180" w:left="300" w:right="920"/>
        </w:sectPr>
      </w:pPr>
    </w:p>
    <w:p>
      <w:pPr>
        <w:pStyle w:val="Heading2"/>
        <w:spacing w:before="87"/>
        <w:ind w:left="748"/>
      </w:pPr>
      <w:r>
        <w:rPr>
          <w:color w:val="1F497C"/>
        </w:rPr>
        <w:t>GRADUATE CATALOG COURSE DESCRIPTIONS</w:t>
      </w:r>
    </w:p>
    <w:p>
      <w:pPr>
        <w:pStyle w:val="BodyText"/>
        <w:rPr>
          <w:b/>
          <w:sz w:val="28"/>
        </w:rPr>
      </w:pPr>
    </w:p>
    <w:p>
      <w:pPr>
        <w:spacing w:before="229"/>
        <w:ind w:left="859" w:right="0" w:firstLine="0"/>
        <w:jc w:val="left"/>
        <w:rPr>
          <w:i/>
          <w:sz w:val="24"/>
        </w:rPr>
      </w:pPr>
      <w:r>
        <w:rPr>
          <w:i/>
          <w:sz w:val="24"/>
        </w:rPr>
        <w:t>In addition to the courses below, the school may offer the following Special Topics courses:</w:t>
      </w:r>
    </w:p>
    <w:p>
      <w:pPr>
        <w:spacing w:before="0"/>
        <w:ind w:left="859" w:right="650" w:firstLine="0"/>
        <w:jc w:val="left"/>
        <w:rPr>
          <w:sz w:val="24"/>
        </w:rPr>
      </w:pPr>
      <w:r>
        <w:rPr>
          <w:b/>
          <w:sz w:val="24"/>
        </w:rPr>
        <w:t>SWRK 7060-65. Special Topics in Social Work. (1-3). </w:t>
      </w:r>
      <w:r>
        <w:rPr>
          <w:sz w:val="24"/>
        </w:rPr>
        <w:t>Topics are varied and announced in the class schedule; may be repeated with different topics. PREREQUISITE: SWRK 7021, SWRK 7022, SWRK 7002, SWRK 7003.</w:t>
      </w:r>
    </w:p>
    <w:p>
      <w:pPr>
        <w:pStyle w:val="BodyText"/>
        <w:rPr>
          <w:sz w:val="28"/>
        </w:rPr>
      </w:pPr>
    </w:p>
    <w:p>
      <w:pPr>
        <w:pStyle w:val="Heading2"/>
        <w:spacing w:before="233"/>
        <w:ind w:left="859"/>
      </w:pPr>
      <w:r>
        <w:rPr/>
        <w:t>SWRK 6937 - School of Social Work (3)</w:t>
      </w:r>
    </w:p>
    <w:p>
      <w:pPr>
        <w:pStyle w:val="BodyText"/>
        <w:ind w:left="859" w:right="361"/>
        <w:jc w:val="both"/>
      </w:pPr>
      <w:r>
        <w:rPr/>
        <w:t>This course develops the knowledge and skills necessary for successful and competent social work in public schools; covering the varied roles and functions of school social workers in their practice with diverse groups of students, families, school personnel, and communities. Best practices in assessing, intervening, and evaluating social work practice across all system levels are emphasized.</w:t>
      </w:r>
    </w:p>
    <w:p>
      <w:pPr>
        <w:pStyle w:val="BodyText"/>
        <w:spacing w:line="292" w:lineRule="exact"/>
        <w:ind w:left="859"/>
      </w:pPr>
      <w:r>
        <w:rPr/>
        <w:t>PREREQUISITE: SWRK 7005, admission to the MSW program, or permission of the instructor.</w:t>
      </w:r>
    </w:p>
    <w:p>
      <w:pPr>
        <w:pStyle w:val="BodyText"/>
      </w:pPr>
    </w:p>
    <w:p>
      <w:pPr>
        <w:pStyle w:val="Heading2"/>
        <w:ind w:left="859"/>
      </w:pPr>
      <w:r>
        <w:rPr/>
        <w:t>SWRK 7001 - Skills Prof Pract SWRK (3)</w:t>
      </w:r>
    </w:p>
    <w:p>
      <w:pPr>
        <w:pStyle w:val="BodyText"/>
        <w:ind w:left="859" w:right="234"/>
      </w:pPr>
      <w:r>
        <w:rPr/>
        <w:t>The course covers the profession's unique mission, values, roles and typically practice used in the conduct of social work practice. It further examines theories of practice and generalist roles and skills. The course is designed to prepare students for their initial field experience in Field Placement I. The course introduces students to the Practice Wheel as a primary model for serving children and families. PREREQUISITE: Admission to MSW program or permission of the</w:t>
      </w:r>
      <w:r>
        <w:rPr>
          <w:spacing w:val="-9"/>
        </w:rPr>
        <w:t> </w:t>
      </w:r>
      <w:r>
        <w:rPr/>
        <w:t>instructor.</w:t>
      </w:r>
    </w:p>
    <w:p>
      <w:pPr>
        <w:pStyle w:val="BodyText"/>
        <w:spacing w:before="3"/>
      </w:pPr>
    </w:p>
    <w:p>
      <w:pPr>
        <w:pStyle w:val="Heading2"/>
        <w:ind w:left="859"/>
      </w:pPr>
      <w:r>
        <w:rPr/>
        <w:t>SWRK 7002 - Individuals and Families (3)</w:t>
      </w:r>
    </w:p>
    <w:p>
      <w:pPr>
        <w:pStyle w:val="BodyText"/>
        <w:ind w:left="859" w:right="299"/>
      </w:pPr>
      <w:r>
        <w:rPr/>
        <w:t>A required foundation course designed to prepare students to apply evidence-based interventions to social work practice with individuals and families. Foundation knowledge and skills are developed in the areas of theory, therapeutic alliance, risk assessment, case formulation, ethical decision-making, critical thinking and evidence-based practice. Particular emphasis is placed on social work practice with culturally diverse, vulnerable and high-risk populations. PREREQUISITE: Admission to MSW program or permission of the instructor.</w:t>
      </w:r>
    </w:p>
    <w:p>
      <w:pPr>
        <w:pStyle w:val="BodyText"/>
        <w:spacing w:before="11"/>
        <w:rPr>
          <w:sz w:val="23"/>
        </w:rPr>
      </w:pPr>
    </w:p>
    <w:p>
      <w:pPr>
        <w:pStyle w:val="Heading2"/>
        <w:ind w:left="859"/>
      </w:pPr>
      <w:r>
        <w:rPr/>
        <w:t>SWRK 7003 - Groups (3)</w:t>
      </w:r>
    </w:p>
    <w:p>
      <w:pPr>
        <w:pStyle w:val="BodyText"/>
        <w:ind w:left="859" w:right="299"/>
      </w:pPr>
      <w:r>
        <w:rPr/>
        <w:t>A required foundation course designed to prepare students to apply evidence-based interventions to social work practice with groups. The course emphasizes mezzo practice skills/ roles, evidence-based theories, problem-solving processes, group dynamics, phases of group development, needed for group work with organizations and community groups. Issues inherent to diversity, at-risk populations and social justice are integrated. PREREQUISITE: SWRK 7001, SWRK 7002.</w:t>
      </w:r>
    </w:p>
    <w:p>
      <w:pPr>
        <w:pStyle w:val="BodyText"/>
        <w:spacing w:before="11"/>
        <w:rPr>
          <w:sz w:val="23"/>
        </w:rPr>
      </w:pPr>
    </w:p>
    <w:p>
      <w:pPr>
        <w:pStyle w:val="Heading2"/>
        <w:ind w:left="859"/>
      </w:pPr>
      <w:r>
        <w:rPr/>
        <w:t>SWRK 7005 - Assessmnt,Diag,Psychopath (3)</w:t>
      </w:r>
    </w:p>
    <w:p>
      <w:pPr>
        <w:pStyle w:val="BodyText"/>
        <w:ind w:left="859" w:right="398"/>
      </w:pPr>
      <w:r>
        <w:rPr/>
        <w:t>Provides students with current information about the assessment and diagnosis of mental disorders utilizing DSM classification system. Students will demonstrate an understanding of the etiology, prevention, assessment and treatment approaches for a number of commonly diagnosed mental health disorders. Students will identity individuals, social and systemic issues effecting individuals with a mental illness. PREREQUISITES: Admission to MSW program or permission of the instructor.</w:t>
      </w:r>
    </w:p>
    <w:p>
      <w:pPr>
        <w:spacing w:after="0"/>
        <w:sectPr>
          <w:pgSz w:w="12240" w:h="15840"/>
          <w:pgMar w:header="0" w:footer="992" w:top="1400" w:bottom="1180" w:left="300" w:right="920"/>
        </w:sectPr>
      </w:pPr>
    </w:p>
    <w:p>
      <w:pPr>
        <w:pStyle w:val="BodyText"/>
        <w:spacing w:before="11"/>
        <w:rPr>
          <w:sz w:val="11"/>
        </w:rPr>
      </w:pPr>
    </w:p>
    <w:p>
      <w:pPr>
        <w:pStyle w:val="Heading2"/>
        <w:spacing w:before="101"/>
        <w:ind w:left="860"/>
      </w:pPr>
      <w:r>
        <w:rPr/>
        <w:t>SWRK 7013 - Treatment of Trauma (3)</w:t>
      </w:r>
    </w:p>
    <w:p>
      <w:pPr>
        <w:pStyle w:val="BodyText"/>
        <w:ind w:left="859" w:right="388"/>
      </w:pPr>
      <w:r>
        <w:rPr/>
        <w:t>An elective course designed to broaden students ability to understand and treat persons exposed to traumatic events. The course examines roles, assessments and intervention strategies for social workers working with clients exposed to specific types of trauma; rape, war, natural disasters.</w:t>
      </w:r>
    </w:p>
    <w:p>
      <w:pPr>
        <w:pStyle w:val="BodyText"/>
        <w:ind w:left="859" w:right="629"/>
        <w:jc w:val="both"/>
      </w:pPr>
      <w:r>
        <w:rPr/>
        <w:t>Emphasis is placed on understanding biopsychosocial influences, psychopharmacology, incidence, course, treatment and evidence-based assessment and interventions skills. PREREQUISITES: 7001 and 7002, admission to MSW program, and/or permission of the instructor.</w:t>
      </w:r>
    </w:p>
    <w:p>
      <w:pPr>
        <w:pStyle w:val="BodyText"/>
        <w:spacing w:before="3"/>
      </w:pPr>
    </w:p>
    <w:p>
      <w:pPr>
        <w:pStyle w:val="Heading2"/>
        <w:ind w:left="859"/>
      </w:pPr>
      <w:r>
        <w:rPr/>
        <w:t>SWRK 7016 - Adv. Individual Child/Youth (3)</w:t>
      </w:r>
    </w:p>
    <w:p>
      <w:pPr>
        <w:pStyle w:val="BodyText"/>
        <w:ind w:left="859" w:right="441"/>
      </w:pPr>
      <w:r>
        <w:rPr/>
        <w:t>The course covers advanced direct practice techniques with children and youth. Techniques include cognitive behavioral therapy and other evidence based techniques. PREREQUISITES: SWRK 7001 &amp; 7002</w:t>
      </w:r>
    </w:p>
    <w:p>
      <w:pPr>
        <w:pStyle w:val="BodyText"/>
        <w:spacing w:before="6"/>
        <w:rPr>
          <w:sz w:val="23"/>
        </w:rPr>
      </w:pPr>
    </w:p>
    <w:p>
      <w:pPr>
        <w:pStyle w:val="Heading2"/>
        <w:spacing w:before="1"/>
        <w:ind w:left="859"/>
      </w:pPr>
      <w:r>
        <w:rPr/>
        <w:t>SWRK 7018 - Adv. Individual Adults (3)</w:t>
      </w:r>
    </w:p>
    <w:p>
      <w:pPr>
        <w:pStyle w:val="BodyText"/>
        <w:spacing w:line="242" w:lineRule="auto"/>
        <w:ind w:left="859" w:right="424"/>
      </w:pPr>
      <w:r>
        <w:rPr/>
        <w:t>The course covers advanced direct practice with adults. Treatment techniques include cognitive behavioral therapy, motivational interviewing, and other evidence based practices. PREREQUISITES: SWRK 7001 &amp; 7002</w:t>
      </w:r>
    </w:p>
    <w:p>
      <w:pPr>
        <w:pStyle w:val="BodyText"/>
        <w:spacing w:before="2"/>
        <w:rPr>
          <w:sz w:val="23"/>
        </w:rPr>
      </w:pPr>
    </w:p>
    <w:p>
      <w:pPr>
        <w:pStyle w:val="Heading2"/>
        <w:ind w:left="859"/>
      </w:pPr>
      <w:r>
        <w:rPr/>
        <w:t>SWRK 7021 - SW Across the Lifespan (3)</w:t>
      </w:r>
    </w:p>
    <w:p>
      <w:pPr>
        <w:pStyle w:val="BodyText"/>
        <w:ind w:left="859" w:right="429"/>
      </w:pPr>
      <w:r>
        <w:rPr/>
        <w:t>Course provides a multidimensional understanding of person and environment relationships. An ecological/ systems framework is paired with a developmental approach to provide an interactional understanding of human behavior. The course examines life span development from conception through older adulthood. Issues of human diversity (i.e. race, ethnicity, class, gender, sexual orientation) will be highlighted. PREREQUISITE: Admission to MSW program or permission of the instructor.</w:t>
      </w:r>
    </w:p>
    <w:p>
      <w:pPr>
        <w:pStyle w:val="BodyText"/>
        <w:spacing w:before="3"/>
      </w:pPr>
    </w:p>
    <w:p>
      <w:pPr>
        <w:pStyle w:val="Heading2"/>
        <w:spacing w:before="1"/>
        <w:ind w:left="859"/>
      </w:pPr>
      <w:r>
        <w:rPr/>
        <w:t>SWRK 7022 - Organizations and Communities (3)</w:t>
      </w:r>
    </w:p>
    <w:p>
      <w:pPr>
        <w:pStyle w:val="BodyText"/>
        <w:ind w:left="859" w:right="318"/>
      </w:pPr>
      <w:r>
        <w:rPr/>
        <w:t>A required foundation course designed to prepare students to apply evidence based interventions to social work practice with organizations and communities. The course emphasizes macro practice skills/ roles. The course stresses an eco-systems perspective and looks at social system malfunctions and inequities. The nature and dynamics of social service networks and social service network eco- systems perspective. PREREQUISITE: Admission to MSW program or permission of the instructor.</w:t>
      </w:r>
    </w:p>
    <w:p>
      <w:pPr>
        <w:pStyle w:val="BodyText"/>
        <w:spacing w:before="10"/>
        <w:rPr>
          <w:sz w:val="23"/>
        </w:rPr>
      </w:pPr>
    </w:p>
    <w:p>
      <w:pPr>
        <w:pStyle w:val="Heading2"/>
        <w:spacing w:before="1"/>
        <w:ind w:left="859"/>
      </w:pPr>
      <w:r>
        <w:rPr/>
        <w:t>SWRK 7025 - Research and Evaluation for SW I (3)</w:t>
      </w:r>
    </w:p>
    <w:p>
      <w:pPr>
        <w:pStyle w:val="BodyText"/>
        <w:ind w:left="859" w:right="716"/>
      </w:pPr>
      <w:r>
        <w:rPr/>
        <w:t>A required foundation course designed to teach research methods and the elements of evidence based practice. The course focuses on social work practice-focused quantitative and qualitative research knowledge and skills including critical evaluation of empirical literature, basic research methodology including construct operationalization, study design, selection, development, implementation, measurement, specific instruments, data management and data analysis using statistical software. PREREQUISITE: Admission to MSW program or permission of the instructor.</w:t>
      </w:r>
    </w:p>
    <w:p>
      <w:pPr>
        <w:pStyle w:val="BodyText"/>
        <w:spacing w:before="10"/>
        <w:rPr>
          <w:sz w:val="23"/>
        </w:rPr>
      </w:pPr>
    </w:p>
    <w:p>
      <w:pPr>
        <w:pStyle w:val="Heading2"/>
        <w:ind w:left="859"/>
      </w:pPr>
      <w:r>
        <w:rPr/>
        <w:t>SWRK 7026 - Research and Evaluation for SW II (3)</w:t>
      </w:r>
    </w:p>
    <w:p>
      <w:pPr>
        <w:pStyle w:val="BodyText"/>
        <w:ind w:left="859"/>
      </w:pPr>
      <w:r>
        <w:rPr/>
        <w:t>A required concentration course designed to teach students hard skills in ethical program evaluation;</w:t>
      </w:r>
    </w:p>
    <w:p>
      <w:pPr>
        <w:spacing w:after="0"/>
        <w:sectPr>
          <w:pgSz w:w="12240" w:h="15840"/>
          <w:pgMar w:header="0" w:footer="992" w:top="1500" w:bottom="1180" w:left="300" w:right="920"/>
        </w:sectPr>
      </w:pPr>
    </w:p>
    <w:p>
      <w:pPr>
        <w:pStyle w:val="BodyText"/>
        <w:spacing w:before="73"/>
        <w:ind w:left="859" w:right="305"/>
      </w:pPr>
      <w:r>
        <w:rPr/>
        <w:t>statistical analysis techniques; and research findings dissemination and application from the micro to the macro levels and throughout diverse areas of practice. PREREQUISITE: SWRK 7025.</w:t>
      </w:r>
    </w:p>
    <w:p>
      <w:pPr>
        <w:pStyle w:val="BodyText"/>
        <w:spacing w:before="8"/>
        <w:rPr>
          <w:sz w:val="26"/>
        </w:rPr>
      </w:pPr>
    </w:p>
    <w:p>
      <w:pPr>
        <w:pStyle w:val="Heading2"/>
        <w:spacing w:before="1"/>
        <w:ind w:left="859"/>
      </w:pPr>
      <w:r>
        <w:rPr/>
        <w:t>SWRK 7030 - Social Welfare Policy/Services (3)</w:t>
      </w:r>
    </w:p>
    <w:p>
      <w:pPr>
        <w:pStyle w:val="BodyText"/>
        <w:ind w:left="859" w:right="366"/>
      </w:pPr>
      <w:r>
        <w:rPr/>
        <w:t>Examines local, state, national and international policies affecting social work practice; exploring the historical process leading to current welfare policy. Using rational and non-rational theoretical perspectives, it presents policy and service domains and the values and philosophies underlying welfare provision. Students explore NASW policy positions, social welfare policy in other countries and comparative policy. PREREQUISITE: Admission to MSW program or permission of the instructor.</w:t>
      </w:r>
    </w:p>
    <w:p>
      <w:pPr>
        <w:pStyle w:val="BodyText"/>
        <w:spacing w:before="3"/>
      </w:pPr>
    </w:p>
    <w:p>
      <w:pPr>
        <w:pStyle w:val="Heading2"/>
        <w:ind w:left="859"/>
      </w:pPr>
      <w:r>
        <w:rPr/>
        <w:t>SWRK 7032 - Adv. Community Child/Youth (3)</w:t>
      </w:r>
    </w:p>
    <w:p>
      <w:pPr>
        <w:pStyle w:val="BodyText"/>
        <w:ind w:left="859" w:right="251"/>
        <w:jc w:val="both"/>
      </w:pPr>
      <w:r>
        <w:rPr/>
        <w:t>The course covers advanced community practice with children and youth. It examines public policies impacting children and youth. It covers the basics of program administration including budgeting and policy implementation in preparation for administrative practice. PREREQUISITES: SWRK 7022 &amp; 7030</w:t>
      </w:r>
    </w:p>
    <w:p>
      <w:pPr>
        <w:pStyle w:val="BodyText"/>
        <w:spacing w:before="11"/>
        <w:rPr>
          <w:sz w:val="23"/>
        </w:rPr>
      </w:pPr>
    </w:p>
    <w:p>
      <w:pPr>
        <w:pStyle w:val="Heading2"/>
        <w:spacing w:before="1"/>
        <w:ind w:left="860"/>
      </w:pPr>
      <w:r>
        <w:rPr/>
        <w:t>SWRK 7033 - Adv. Community Adults (3)</w:t>
      </w:r>
    </w:p>
    <w:p>
      <w:pPr>
        <w:pStyle w:val="BodyText"/>
        <w:ind w:left="859" w:right="263"/>
      </w:pPr>
      <w:r>
        <w:rPr/>
        <w:t>The course covers advanced community practice with adults. Students learn policies and administrative practices to serve adults and older adults, explore policy and program implementation programs, learn administration and budgeting basics, understand community practice models, and become prepared to assume leadership positions in social service agencies and organizations.</w:t>
      </w:r>
    </w:p>
    <w:p>
      <w:pPr>
        <w:pStyle w:val="BodyText"/>
        <w:spacing w:line="292" w:lineRule="exact"/>
        <w:ind w:left="860"/>
      </w:pPr>
      <w:r>
        <w:rPr/>
        <w:t>PREREQUISITES: SWRK 7022 &amp; 7030</w:t>
      </w:r>
    </w:p>
    <w:p>
      <w:pPr>
        <w:pStyle w:val="BodyText"/>
        <w:spacing w:before="11"/>
        <w:rPr>
          <w:sz w:val="23"/>
        </w:rPr>
      </w:pPr>
    </w:p>
    <w:p>
      <w:pPr>
        <w:pStyle w:val="Heading2"/>
        <w:ind w:left="859"/>
      </w:pPr>
      <w:r>
        <w:rPr/>
        <w:t>SWRK 7050 - Advanced Standing Field (1)</w:t>
      </w:r>
    </w:p>
    <w:p>
      <w:pPr>
        <w:pStyle w:val="BodyText"/>
        <w:ind w:left="859" w:right="319"/>
      </w:pPr>
      <w:r>
        <w:rPr/>
        <w:t>The advanced standing field course connects generalist curriculum learned in undergraduate social work to the masters-level curriculum at the advanced level. Assignments encourage self-assessment, increase empathy towards populations served, and expose students to core competencies.</w:t>
      </w:r>
    </w:p>
    <w:p>
      <w:pPr>
        <w:pStyle w:val="BodyText"/>
        <w:spacing w:line="292" w:lineRule="exact"/>
        <w:ind w:left="859"/>
      </w:pPr>
      <w:r>
        <w:rPr/>
        <w:t>PREREQUISITE: Admission to the Advanced Standing MSW Program.</w:t>
      </w:r>
    </w:p>
    <w:p>
      <w:pPr>
        <w:pStyle w:val="BodyText"/>
      </w:pPr>
    </w:p>
    <w:p>
      <w:pPr>
        <w:pStyle w:val="Heading2"/>
        <w:ind w:left="859"/>
      </w:pPr>
      <w:r>
        <w:rPr/>
        <w:t>SWRK 7051 - Field Placement I (3)</w:t>
      </w:r>
    </w:p>
    <w:p>
      <w:pPr>
        <w:pStyle w:val="BodyText"/>
        <w:ind w:left="859" w:right="410"/>
      </w:pPr>
      <w:r>
        <w:rPr/>
        <w:t>This course provides opportunities for students to integrate what they are learning in the classroom with practical experience in an agency that provides social work services. The first course prepares students for work as generalist social workers, to help them learn to apply critical thinking skills, to increase their range of social work skills and techniques, to understand the importance of the value base and increase their self-understanding. PREREQUISITE or COREQUISITE: SWRK 7001</w:t>
      </w:r>
    </w:p>
    <w:p>
      <w:pPr>
        <w:pStyle w:val="BodyText"/>
        <w:spacing w:before="3"/>
      </w:pPr>
    </w:p>
    <w:p>
      <w:pPr>
        <w:pStyle w:val="Heading2"/>
        <w:ind w:left="860"/>
      </w:pPr>
      <w:r>
        <w:rPr/>
        <w:t>SWRK 7052 - Field Placement II (3)</w:t>
      </w:r>
    </w:p>
    <w:p>
      <w:pPr>
        <w:pStyle w:val="BodyText"/>
        <w:ind w:left="859" w:right="241"/>
      </w:pPr>
      <w:r>
        <w:rPr/>
        <w:t>The first year of field placement is intended to prepare students for work as generalist social workers, to help them learn to apply critical thinking skills, to increase their range of social work skills and techniques, to understand the importance of the value base and ethical framework of the profession of social work, and to increase their self-understanding. Field Placement II builds on the learning foundation that was established in Field Placement I. PREREQUISITE: SWRK 7051.</w:t>
      </w:r>
    </w:p>
    <w:p>
      <w:pPr>
        <w:pStyle w:val="BodyText"/>
        <w:spacing w:before="11"/>
        <w:rPr>
          <w:sz w:val="23"/>
        </w:rPr>
      </w:pPr>
    </w:p>
    <w:p>
      <w:pPr>
        <w:pStyle w:val="Heading2"/>
        <w:ind w:left="859"/>
      </w:pPr>
      <w:r>
        <w:rPr/>
        <w:t>SWRK 7053 - Field Placement III (3)</w:t>
      </w:r>
    </w:p>
    <w:p>
      <w:pPr>
        <w:pStyle w:val="BodyText"/>
        <w:ind w:left="859"/>
      </w:pPr>
      <w:r>
        <w:rPr/>
        <w:t>The second year is directed toward an area of social work specialization and the development of</w:t>
      </w:r>
    </w:p>
    <w:p>
      <w:pPr>
        <w:spacing w:after="0"/>
        <w:sectPr>
          <w:pgSz w:w="12240" w:h="15840"/>
          <w:pgMar w:header="0" w:footer="992" w:top="1380" w:bottom="1180" w:left="300" w:right="920"/>
        </w:sectPr>
      </w:pPr>
    </w:p>
    <w:p>
      <w:pPr>
        <w:pStyle w:val="BodyText"/>
        <w:spacing w:before="73"/>
        <w:ind w:left="859" w:right="467"/>
      </w:pPr>
      <w:r>
        <w:rPr/>
        <w:t>advanced skills and practice, building on the first year of placement and providing opportunities for more complex application of social work theories, models, values, and ethics. Field Placement III builds on the learning foundation that was established in Field Placement I and II. PREREQUISITE: SWRK 7050/52</w:t>
      </w:r>
    </w:p>
    <w:p>
      <w:pPr>
        <w:pStyle w:val="BodyText"/>
        <w:spacing w:before="11"/>
        <w:rPr>
          <w:sz w:val="23"/>
        </w:rPr>
      </w:pPr>
    </w:p>
    <w:p>
      <w:pPr>
        <w:pStyle w:val="Heading2"/>
        <w:ind w:left="859"/>
      </w:pPr>
      <w:r>
        <w:rPr/>
        <w:t>SWRK 7054 - Field Placement IV (3)</w:t>
      </w:r>
    </w:p>
    <w:p>
      <w:pPr>
        <w:pStyle w:val="BodyText"/>
        <w:ind w:left="859" w:right="345"/>
      </w:pPr>
      <w:r>
        <w:rPr/>
        <w:t>The second year is directed toward an area of social work specialization and the development of advanced skills and practice, building on the first year of placement and providing opportunities for more complex application of social work theories, models, values, and ethics. Field Placement IV builds on the learning foundation that was established in Field Placement I, II, and III. PREREQUISITE: SWRK 7053.</w:t>
      </w:r>
    </w:p>
    <w:p>
      <w:pPr>
        <w:pStyle w:val="BodyText"/>
        <w:spacing w:before="11"/>
        <w:rPr>
          <w:sz w:val="23"/>
        </w:rPr>
      </w:pPr>
    </w:p>
    <w:p>
      <w:pPr>
        <w:pStyle w:val="Heading2"/>
        <w:ind w:left="859"/>
      </w:pPr>
      <w:r>
        <w:rPr/>
        <w:t>SWRK 7055 - Integrative Field Seminar I (3)</w:t>
      </w:r>
    </w:p>
    <w:p>
      <w:pPr>
        <w:pStyle w:val="BodyText"/>
        <w:spacing w:line="244" w:lineRule="auto"/>
        <w:ind w:left="859" w:right="754"/>
      </w:pPr>
      <w:r>
        <w:rPr/>
        <w:t>Course covers preparation for advanced social work practice and preparation for the social work licensure exam. PREREQUISITE: SWRK 7050/52</w:t>
      </w:r>
    </w:p>
    <w:p>
      <w:pPr>
        <w:pStyle w:val="BodyText"/>
        <w:rPr>
          <w:sz w:val="23"/>
        </w:rPr>
      </w:pPr>
    </w:p>
    <w:p>
      <w:pPr>
        <w:pStyle w:val="Heading2"/>
        <w:ind w:left="859"/>
      </w:pPr>
      <w:r>
        <w:rPr/>
        <w:t>SWRK 7056 - Integrative Field Seminar II (3)</w:t>
      </w:r>
    </w:p>
    <w:p>
      <w:pPr>
        <w:pStyle w:val="BodyText"/>
        <w:spacing w:before="5"/>
        <w:ind w:left="859" w:right="754"/>
      </w:pPr>
      <w:r>
        <w:rPr/>
        <w:t>Course covers preparation for advanced social work practice and preparation for the social work licensure exam. PREREQUISITE: SWRK 7053 &amp; SWRK 7055</w:t>
      </w:r>
    </w:p>
    <w:p>
      <w:pPr>
        <w:pStyle w:val="BodyText"/>
        <w:spacing w:before="11"/>
        <w:rPr>
          <w:sz w:val="23"/>
        </w:rPr>
      </w:pPr>
    </w:p>
    <w:p>
      <w:pPr>
        <w:pStyle w:val="Heading2"/>
        <w:spacing w:before="1"/>
        <w:ind w:left="859"/>
      </w:pPr>
      <w:r>
        <w:rPr/>
        <w:t>SWRK 7070 - Independent Study (3)</w:t>
      </w:r>
    </w:p>
    <w:p>
      <w:pPr>
        <w:pStyle w:val="BodyText"/>
        <w:ind w:left="859" w:right="304"/>
      </w:pPr>
      <w:r>
        <w:rPr/>
        <w:t>Provides an opportunity for directed advanced reading, an advanced field project, and/or research in special areas of social work. Provides in-depth learning opportunities not otherwise available in the regular curriculum. Independent study replaces one elective. PREREQUISITE: Admission to MSW program or permission of the instructor.</w:t>
      </w:r>
    </w:p>
    <w:p>
      <w:pPr>
        <w:pStyle w:val="BodyText"/>
        <w:spacing w:before="11"/>
        <w:rPr>
          <w:sz w:val="23"/>
        </w:rPr>
      </w:pPr>
    </w:p>
    <w:p>
      <w:pPr>
        <w:pStyle w:val="Heading2"/>
        <w:ind w:left="859"/>
      </w:pPr>
      <w:r>
        <w:rPr/>
        <w:t>SWRK 7996 - Thesis (1-6)</w:t>
      </w:r>
    </w:p>
    <w:p>
      <w:pPr>
        <w:pStyle w:val="BodyText"/>
        <w:ind w:left="859" w:right="260"/>
      </w:pPr>
      <w:r>
        <w:rPr/>
        <w:t>Thesis provides the opportunity for a student to complete an advanced independent research project during a two-semester sequence. Students will develop and apply research skills and produce a comprehensive paper that will contribute to knowledge in the social work profession. The Master's thesis is a two-semester (6 credit hours) commitment that will be completed during the concentration year. Thesis is not required for completion of the Master's of Social Work program.</w:t>
      </w:r>
    </w:p>
    <w:p>
      <w:pPr>
        <w:pStyle w:val="BodyText"/>
        <w:ind w:left="859" w:right="493"/>
      </w:pPr>
      <w:r>
        <w:rPr/>
        <w:t>PREREQUISITE: Successful completion of all foundation coursework with a GPA of 3.5 or higher and approval of a thesis proposal by the thesis committee chair.</w:t>
      </w:r>
    </w:p>
    <w:p>
      <w:pPr>
        <w:spacing w:after="0"/>
        <w:sectPr>
          <w:pgSz w:w="12240" w:h="15840"/>
          <w:pgMar w:header="0" w:footer="992" w:top="1380" w:bottom="1180" w:left="300" w:right="920"/>
        </w:sectPr>
      </w:pPr>
    </w:p>
    <w:p>
      <w:pPr>
        <w:spacing w:before="73"/>
        <w:ind w:left="2185" w:right="1433" w:hanging="1"/>
        <w:jc w:val="center"/>
        <w:rPr>
          <w:sz w:val="115"/>
        </w:rPr>
      </w:pPr>
      <w:r>
        <w:rPr>
          <w:color w:val="4F81BD"/>
          <w:sz w:val="144"/>
        </w:rPr>
        <w:t>A</w:t>
      </w:r>
      <w:r>
        <w:rPr>
          <w:color w:val="4F81BD"/>
          <w:sz w:val="115"/>
        </w:rPr>
        <w:t>PPENDICES</w:t>
      </w:r>
      <w:r>
        <w:rPr>
          <w:color w:val="4F81BD"/>
          <w:sz w:val="144"/>
        </w:rPr>
        <w:t>: D</w:t>
      </w:r>
      <w:r>
        <w:rPr>
          <w:color w:val="4F81BD"/>
          <w:sz w:val="115"/>
        </w:rPr>
        <w:t>EGREE </w:t>
      </w:r>
      <w:r>
        <w:rPr>
          <w:color w:val="4F81BD"/>
          <w:sz w:val="144"/>
        </w:rPr>
        <w:t>P</w:t>
      </w:r>
      <w:r>
        <w:rPr>
          <w:color w:val="4F81BD"/>
          <w:sz w:val="115"/>
        </w:rPr>
        <w:t>LANS</w:t>
      </w:r>
    </w:p>
    <w:p>
      <w:pPr>
        <w:pStyle w:val="Heading2"/>
        <w:spacing w:line="291" w:lineRule="exact"/>
        <w:ind w:left="3781" w:right="3139"/>
        <w:jc w:val="center"/>
      </w:pPr>
      <w:r>
        <w:rPr>
          <w:color w:val="1F497C"/>
        </w:rPr>
        <w:t>APPENDIX 1:</w:t>
      </w:r>
    </w:p>
    <w:p>
      <w:pPr>
        <w:pStyle w:val="BodyText"/>
        <w:spacing w:before="11"/>
        <w:rPr>
          <w:b/>
          <w:sz w:val="23"/>
        </w:rPr>
      </w:pPr>
    </w:p>
    <w:p>
      <w:pPr>
        <w:spacing w:before="1"/>
        <w:ind w:left="3781" w:right="3139" w:firstLine="0"/>
        <w:jc w:val="center"/>
        <w:rPr>
          <w:b/>
          <w:sz w:val="24"/>
        </w:rPr>
      </w:pPr>
      <w:r>
        <w:rPr>
          <w:b/>
          <w:sz w:val="24"/>
        </w:rPr>
        <w:t>MSW Program of Study, Full-Time 2-year</w:t>
      </w:r>
    </w:p>
    <w:p>
      <w:pPr>
        <w:pStyle w:val="BodyText"/>
        <w:rPr>
          <w:b/>
          <w:sz w:val="28"/>
        </w:rPr>
      </w:pPr>
    </w:p>
    <w:p>
      <w:pPr>
        <w:spacing w:before="248"/>
        <w:ind w:left="3781" w:right="3139" w:firstLine="0"/>
        <w:jc w:val="center"/>
        <w:rPr>
          <w:b/>
          <w:sz w:val="24"/>
        </w:rPr>
      </w:pPr>
      <w:r>
        <w:rPr>
          <w:b/>
          <w:color w:val="1F497C"/>
          <w:sz w:val="24"/>
        </w:rPr>
        <w:t>APPENDIX 2:</w:t>
      </w:r>
    </w:p>
    <w:p>
      <w:pPr>
        <w:pStyle w:val="BodyText"/>
        <w:rPr>
          <w:b/>
        </w:rPr>
      </w:pPr>
    </w:p>
    <w:p>
      <w:pPr>
        <w:spacing w:before="0"/>
        <w:ind w:left="3049" w:right="2407" w:firstLine="0"/>
        <w:jc w:val="center"/>
        <w:rPr>
          <w:b/>
          <w:sz w:val="24"/>
        </w:rPr>
      </w:pPr>
      <w:r>
        <w:rPr>
          <w:b/>
          <w:sz w:val="24"/>
        </w:rPr>
        <w:t>37 Hour Advanced Standing Full Time MSW Curriculum</w:t>
      </w:r>
    </w:p>
    <w:p>
      <w:pPr>
        <w:pStyle w:val="BodyText"/>
        <w:rPr>
          <w:b/>
          <w:sz w:val="28"/>
        </w:rPr>
      </w:pPr>
    </w:p>
    <w:p>
      <w:pPr>
        <w:spacing w:before="243"/>
        <w:ind w:left="3781" w:right="3139" w:firstLine="0"/>
        <w:jc w:val="center"/>
        <w:rPr>
          <w:b/>
          <w:sz w:val="24"/>
        </w:rPr>
      </w:pPr>
      <w:r>
        <w:rPr>
          <w:b/>
          <w:color w:val="1F497C"/>
          <w:sz w:val="24"/>
        </w:rPr>
        <w:t>APPENDIX 3:</w:t>
      </w:r>
    </w:p>
    <w:p>
      <w:pPr>
        <w:pStyle w:val="BodyText"/>
        <w:rPr>
          <w:b/>
        </w:rPr>
      </w:pPr>
    </w:p>
    <w:p>
      <w:pPr>
        <w:spacing w:before="0"/>
        <w:ind w:left="3049" w:right="2407" w:firstLine="0"/>
        <w:jc w:val="center"/>
        <w:rPr>
          <w:b/>
          <w:sz w:val="24"/>
        </w:rPr>
      </w:pPr>
      <w:r>
        <w:rPr>
          <w:b/>
          <w:sz w:val="24"/>
        </w:rPr>
        <w:t>37 Hour Advanced Standing Part Time MSW Curriculum</w:t>
      </w:r>
    </w:p>
    <w:p>
      <w:pPr>
        <w:pStyle w:val="BodyText"/>
        <w:rPr>
          <w:b/>
          <w:sz w:val="28"/>
        </w:rPr>
      </w:pPr>
    </w:p>
    <w:p>
      <w:pPr>
        <w:spacing w:before="244"/>
        <w:ind w:left="3781" w:right="3139" w:firstLine="0"/>
        <w:jc w:val="center"/>
        <w:rPr>
          <w:b/>
          <w:sz w:val="24"/>
        </w:rPr>
      </w:pPr>
      <w:r>
        <w:rPr>
          <w:b/>
          <w:color w:val="1F497C"/>
          <w:sz w:val="24"/>
        </w:rPr>
        <w:t>APPENDIX 4:</w:t>
      </w:r>
    </w:p>
    <w:p>
      <w:pPr>
        <w:pStyle w:val="BodyText"/>
        <w:spacing w:before="11"/>
        <w:rPr>
          <w:b/>
          <w:sz w:val="23"/>
        </w:rPr>
      </w:pPr>
    </w:p>
    <w:p>
      <w:pPr>
        <w:spacing w:before="1"/>
        <w:ind w:left="3049" w:right="2407" w:firstLine="0"/>
        <w:jc w:val="center"/>
        <w:rPr>
          <w:b/>
          <w:sz w:val="24"/>
        </w:rPr>
      </w:pPr>
      <w:r>
        <w:rPr>
          <w:b/>
          <w:sz w:val="24"/>
        </w:rPr>
        <w:t>3 &amp; 4 Year Plan, Extended Study MSW Curriculum</w:t>
      </w:r>
    </w:p>
    <w:p>
      <w:pPr>
        <w:pStyle w:val="BodyText"/>
        <w:rPr>
          <w:b/>
          <w:sz w:val="28"/>
        </w:rPr>
      </w:pPr>
    </w:p>
    <w:p>
      <w:pPr>
        <w:spacing w:before="243"/>
        <w:ind w:left="3781" w:right="3139" w:firstLine="0"/>
        <w:jc w:val="center"/>
        <w:rPr>
          <w:b/>
          <w:sz w:val="24"/>
        </w:rPr>
      </w:pPr>
      <w:r>
        <w:rPr>
          <w:b/>
          <w:color w:val="1F497C"/>
          <w:sz w:val="24"/>
        </w:rPr>
        <w:t>APPENDIX 4:</w:t>
      </w:r>
    </w:p>
    <w:p>
      <w:pPr>
        <w:pStyle w:val="BodyText"/>
        <w:rPr>
          <w:b/>
        </w:rPr>
      </w:pPr>
    </w:p>
    <w:p>
      <w:pPr>
        <w:spacing w:before="0"/>
        <w:ind w:left="3049" w:right="2406" w:firstLine="0"/>
        <w:jc w:val="center"/>
        <w:rPr>
          <w:b/>
          <w:sz w:val="24"/>
        </w:rPr>
      </w:pPr>
      <w:r>
        <w:rPr>
          <w:b/>
          <w:sz w:val="24"/>
        </w:rPr>
        <w:t>MSW Program of Study, 2.5-year, Spring Start</w:t>
      </w:r>
    </w:p>
    <w:p>
      <w:pPr>
        <w:spacing w:after="0"/>
        <w:jc w:val="center"/>
        <w:rPr>
          <w:sz w:val="24"/>
        </w:rPr>
        <w:sectPr>
          <w:pgSz w:w="12240" w:h="15840"/>
          <w:pgMar w:header="0" w:footer="992" w:top="1380" w:bottom="1180" w:left="300" w:right="920"/>
        </w:sectPr>
      </w:pPr>
    </w:p>
    <w:p>
      <w:pPr>
        <w:pStyle w:val="BodyText"/>
        <w:spacing w:line="244" w:lineRule="auto" w:before="37"/>
        <w:ind w:left="4936" w:right="2858" w:hanging="994"/>
        <w:rPr>
          <w:rFonts w:ascii="Calibri Light"/>
          <w:b w:val="0"/>
        </w:rPr>
      </w:pPr>
      <w:r>
        <w:rPr>
          <w:rFonts w:ascii="Calibri Light"/>
          <w:b w:val="0"/>
          <w:spacing w:val="-3"/>
        </w:rPr>
        <w:t>MSW Program </w:t>
      </w:r>
      <w:r>
        <w:rPr>
          <w:rFonts w:ascii="Calibri Light"/>
          <w:b w:val="0"/>
        </w:rPr>
        <w:t>of </w:t>
      </w:r>
      <w:r>
        <w:rPr>
          <w:rFonts w:ascii="Calibri Light"/>
          <w:b w:val="0"/>
          <w:spacing w:val="-3"/>
        </w:rPr>
        <w:t>Study, </w:t>
      </w:r>
      <w:r>
        <w:rPr>
          <w:rFonts w:ascii="Calibri Light"/>
          <w:b w:val="0"/>
          <w:spacing w:val="-4"/>
        </w:rPr>
        <w:t>Full-Time </w:t>
      </w:r>
      <w:r>
        <w:rPr>
          <w:rFonts w:ascii="Calibri Light"/>
          <w:b w:val="0"/>
          <w:spacing w:val="-3"/>
        </w:rPr>
        <w:t>2-year </w:t>
      </w:r>
      <w:r>
        <w:rPr>
          <w:rFonts w:ascii="Calibri Light"/>
          <w:b w:val="0"/>
        </w:rPr>
        <w:t>Year 1 Foundation</w:t>
      </w:r>
    </w:p>
    <w:p>
      <w:pPr>
        <w:pStyle w:val="BodyText"/>
        <w:ind w:left="912"/>
        <w:rPr>
          <w:rFonts w:ascii="Calibri Light"/>
          <w:sz w:val="20"/>
        </w:rPr>
      </w:pPr>
      <w:r>
        <w:rPr>
          <w:rFonts w:ascii="Calibri Light"/>
          <w:sz w:val="20"/>
        </w:rPr>
        <w:pict>
          <v:shape style="width:490.7pt;height:14.65pt;mso-position-horizontal-relative:char;mso-position-vertical-relative:line" type="#_x0000_t202" filled="true" fillcolor="#44546a" stroked="false">
            <w10:anchorlock/>
            <v:textbox inset="0,0,0,0">
              <w:txbxContent>
                <w:p>
                  <w:pPr>
                    <w:pStyle w:val="BodyText"/>
                    <w:tabs>
                      <w:tab w:pos="7144" w:val="left" w:leader="none"/>
                    </w:tabs>
                    <w:spacing w:line="286" w:lineRule="exact" w:before="6"/>
                    <w:ind w:left="2210"/>
                    <w:rPr>
                      <w:rFonts w:ascii="Calibri Light"/>
                      <w:b w:val="0"/>
                    </w:rPr>
                  </w:pPr>
                  <w:r>
                    <w:rPr>
                      <w:rFonts w:ascii="Calibri Light"/>
                      <w:b w:val="0"/>
                      <w:color w:val="FFFFFF"/>
                    </w:rPr>
                    <w:t>FALL</w:t>
                    <w:tab/>
                    <w:t>SPRING</w:t>
                  </w:r>
                </w:p>
              </w:txbxContent>
            </v:textbox>
            <v:fill type="solid"/>
          </v:shape>
        </w:pict>
      </w:r>
      <w:r>
        <w:rPr>
          <w:rFonts w:ascii="Calibri Light"/>
          <w:sz w:val="20"/>
        </w:rPr>
      </w:r>
    </w:p>
    <w:p>
      <w:pPr>
        <w:pStyle w:val="BodyText"/>
        <w:spacing w:before="10"/>
        <w:rPr>
          <w:rFonts w:ascii="Calibri Light"/>
          <w:b w:val="0"/>
          <w:sz w:val="6"/>
        </w:rPr>
      </w:pPr>
    </w:p>
    <w:tbl>
      <w:tblPr>
        <w:tblW w:w="0" w:type="auto"/>
        <w:jc w:val="left"/>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9"/>
        <w:gridCol w:w="3317"/>
        <w:gridCol w:w="561"/>
        <w:gridCol w:w="1146"/>
        <w:gridCol w:w="3387"/>
        <w:gridCol w:w="418"/>
      </w:tblGrid>
      <w:tr>
        <w:trPr>
          <w:trHeight w:val="316" w:hRule="atLeast"/>
        </w:trPr>
        <w:tc>
          <w:tcPr>
            <w:tcW w:w="989" w:type="dxa"/>
          </w:tcPr>
          <w:p>
            <w:pPr>
              <w:pStyle w:val="TableParagraph"/>
              <w:spacing w:line="244" w:lineRule="exact"/>
              <w:ind w:right="199"/>
              <w:jc w:val="right"/>
              <w:rPr>
                <w:b w:val="0"/>
                <w:sz w:val="24"/>
              </w:rPr>
            </w:pPr>
            <w:r>
              <w:rPr>
                <w:b w:val="0"/>
                <w:sz w:val="24"/>
              </w:rPr>
              <w:t>7001</w:t>
            </w:r>
          </w:p>
        </w:tc>
        <w:tc>
          <w:tcPr>
            <w:tcW w:w="3317" w:type="dxa"/>
          </w:tcPr>
          <w:p>
            <w:pPr>
              <w:pStyle w:val="TableParagraph"/>
              <w:spacing w:line="244" w:lineRule="exact"/>
              <w:ind w:left="201"/>
              <w:rPr>
                <w:b w:val="0"/>
                <w:sz w:val="24"/>
              </w:rPr>
            </w:pPr>
            <w:r>
              <w:rPr>
                <w:b w:val="0"/>
                <w:sz w:val="24"/>
              </w:rPr>
              <w:t>Social Work Practice Skills</w:t>
            </w:r>
          </w:p>
        </w:tc>
        <w:tc>
          <w:tcPr>
            <w:tcW w:w="561" w:type="dxa"/>
          </w:tcPr>
          <w:p>
            <w:pPr>
              <w:pStyle w:val="TableParagraph"/>
              <w:spacing w:line="244" w:lineRule="exact"/>
              <w:ind w:right="195"/>
              <w:jc w:val="right"/>
              <w:rPr>
                <w:b w:val="0"/>
                <w:sz w:val="24"/>
              </w:rPr>
            </w:pPr>
            <w:r>
              <w:rPr>
                <w:b w:val="0"/>
                <w:sz w:val="24"/>
              </w:rPr>
              <w:t>3</w:t>
            </w:r>
          </w:p>
        </w:tc>
        <w:tc>
          <w:tcPr>
            <w:tcW w:w="1146" w:type="dxa"/>
          </w:tcPr>
          <w:p>
            <w:pPr>
              <w:pStyle w:val="TableParagraph"/>
              <w:spacing w:line="244" w:lineRule="exact"/>
              <w:ind w:right="200"/>
              <w:jc w:val="right"/>
              <w:rPr>
                <w:b w:val="0"/>
                <w:sz w:val="24"/>
              </w:rPr>
            </w:pPr>
            <w:r>
              <w:rPr>
                <w:b w:val="0"/>
                <w:sz w:val="24"/>
              </w:rPr>
              <w:t>7003</w:t>
            </w:r>
          </w:p>
        </w:tc>
        <w:tc>
          <w:tcPr>
            <w:tcW w:w="3387" w:type="dxa"/>
          </w:tcPr>
          <w:p>
            <w:pPr>
              <w:pStyle w:val="TableParagraph"/>
              <w:spacing w:line="244" w:lineRule="exact"/>
              <w:ind w:left="198"/>
              <w:rPr>
                <w:b w:val="0"/>
                <w:sz w:val="24"/>
              </w:rPr>
            </w:pPr>
            <w:r>
              <w:rPr>
                <w:b w:val="0"/>
                <w:sz w:val="24"/>
              </w:rPr>
              <w:t>Groups</w:t>
            </w:r>
          </w:p>
        </w:tc>
        <w:tc>
          <w:tcPr>
            <w:tcW w:w="418" w:type="dxa"/>
          </w:tcPr>
          <w:p>
            <w:pPr>
              <w:pStyle w:val="TableParagraph"/>
              <w:spacing w:line="244" w:lineRule="exact"/>
              <w:ind w:left="31"/>
              <w:jc w:val="center"/>
              <w:rPr>
                <w:b w:val="0"/>
                <w:sz w:val="24"/>
              </w:rPr>
            </w:pPr>
            <w:r>
              <w:rPr>
                <w:b w:val="0"/>
                <w:sz w:val="24"/>
              </w:rPr>
              <w:t>3</w:t>
            </w:r>
          </w:p>
        </w:tc>
      </w:tr>
      <w:tr>
        <w:trPr>
          <w:trHeight w:val="431" w:hRule="atLeast"/>
        </w:trPr>
        <w:tc>
          <w:tcPr>
            <w:tcW w:w="989" w:type="dxa"/>
            <w:shd w:val="clear" w:color="auto" w:fill="E5E5E5"/>
          </w:tcPr>
          <w:p>
            <w:pPr>
              <w:pStyle w:val="TableParagraph"/>
              <w:spacing w:before="66"/>
              <w:ind w:right="199"/>
              <w:jc w:val="right"/>
              <w:rPr>
                <w:b w:val="0"/>
                <w:sz w:val="24"/>
              </w:rPr>
            </w:pPr>
            <w:r>
              <w:rPr>
                <w:b w:val="0"/>
                <w:sz w:val="24"/>
              </w:rPr>
              <w:t>7002</w:t>
            </w:r>
          </w:p>
        </w:tc>
        <w:tc>
          <w:tcPr>
            <w:tcW w:w="3317" w:type="dxa"/>
            <w:shd w:val="clear" w:color="auto" w:fill="E5E5E5"/>
          </w:tcPr>
          <w:p>
            <w:pPr>
              <w:pStyle w:val="TableParagraph"/>
              <w:spacing w:before="66"/>
              <w:ind w:left="201"/>
              <w:rPr>
                <w:b w:val="0"/>
                <w:sz w:val="24"/>
              </w:rPr>
            </w:pPr>
            <w:r>
              <w:rPr>
                <w:b w:val="0"/>
                <w:sz w:val="24"/>
              </w:rPr>
              <w:t>Individuals and Families</w:t>
            </w:r>
          </w:p>
        </w:tc>
        <w:tc>
          <w:tcPr>
            <w:tcW w:w="561" w:type="dxa"/>
            <w:shd w:val="clear" w:color="auto" w:fill="E5E5E5"/>
          </w:tcPr>
          <w:p>
            <w:pPr>
              <w:pStyle w:val="TableParagraph"/>
              <w:spacing w:before="66"/>
              <w:ind w:right="195"/>
              <w:jc w:val="right"/>
              <w:rPr>
                <w:b w:val="0"/>
                <w:sz w:val="24"/>
              </w:rPr>
            </w:pPr>
            <w:r>
              <w:rPr>
                <w:b w:val="0"/>
                <w:sz w:val="24"/>
              </w:rPr>
              <w:t>3</w:t>
            </w:r>
          </w:p>
        </w:tc>
        <w:tc>
          <w:tcPr>
            <w:tcW w:w="1146" w:type="dxa"/>
            <w:shd w:val="clear" w:color="auto" w:fill="E5E5E5"/>
          </w:tcPr>
          <w:p>
            <w:pPr>
              <w:pStyle w:val="TableParagraph"/>
              <w:spacing w:before="66"/>
              <w:ind w:right="200"/>
              <w:jc w:val="right"/>
              <w:rPr>
                <w:b w:val="0"/>
                <w:sz w:val="24"/>
              </w:rPr>
            </w:pPr>
            <w:r>
              <w:rPr>
                <w:b w:val="0"/>
                <w:sz w:val="24"/>
              </w:rPr>
              <w:t>7005</w:t>
            </w:r>
          </w:p>
        </w:tc>
        <w:tc>
          <w:tcPr>
            <w:tcW w:w="3387" w:type="dxa"/>
            <w:shd w:val="clear" w:color="auto" w:fill="E5E5E5"/>
          </w:tcPr>
          <w:p>
            <w:pPr>
              <w:pStyle w:val="TableParagraph"/>
              <w:spacing w:before="66"/>
              <w:ind w:left="198"/>
              <w:rPr>
                <w:b w:val="0"/>
                <w:sz w:val="24"/>
              </w:rPr>
            </w:pPr>
            <w:r>
              <w:rPr>
                <w:b w:val="0"/>
                <w:sz w:val="24"/>
              </w:rPr>
              <w:t>Psychopathology</w:t>
            </w:r>
          </w:p>
        </w:tc>
        <w:tc>
          <w:tcPr>
            <w:tcW w:w="418" w:type="dxa"/>
            <w:shd w:val="clear" w:color="auto" w:fill="E5E5E5"/>
          </w:tcPr>
          <w:p>
            <w:pPr>
              <w:pStyle w:val="TableParagraph"/>
              <w:spacing w:before="66"/>
              <w:ind w:left="31"/>
              <w:jc w:val="center"/>
              <w:rPr>
                <w:b w:val="0"/>
                <w:sz w:val="24"/>
              </w:rPr>
            </w:pPr>
            <w:r>
              <w:rPr>
                <w:b w:val="0"/>
                <w:sz w:val="24"/>
              </w:rPr>
              <w:t>3</w:t>
            </w:r>
          </w:p>
        </w:tc>
      </w:tr>
      <w:tr>
        <w:trPr>
          <w:trHeight w:val="432" w:hRule="atLeast"/>
        </w:trPr>
        <w:tc>
          <w:tcPr>
            <w:tcW w:w="989" w:type="dxa"/>
          </w:tcPr>
          <w:p>
            <w:pPr>
              <w:pStyle w:val="TableParagraph"/>
              <w:spacing w:before="66"/>
              <w:ind w:right="199"/>
              <w:jc w:val="right"/>
              <w:rPr>
                <w:b w:val="0"/>
                <w:sz w:val="24"/>
              </w:rPr>
            </w:pPr>
            <w:r>
              <w:rPr>
                <w:b w:val="0"/>
                <w:sz w:val="24"/>
              </w:rPr>
              <w:t>7021</w:t>
            </w:r>
          </w:p>
        </w:tc>
        <w:tc>
          <w:tcPr>
            <w:tcW w:w="3317" w:type="dxa"/>
          </w:tcPr>
          <w:p>
            <w:pPr>
              <w:pStyle w:val="TableParagraph"/>
              <w:spacing w:before="66"/>
              <w:ind w:left="201"/>
              <w:rPr>
                <w:b w:val="0"/>
                <w:sz w:val="24"/>
              </w:rPr>
            </w:pPr>
            <w:r>
              <w:rPr>
                <w:b w:val="0"/>
                <w:sz w:val="24"/>
              </w:rPr>
              <w:t>SW Across the Lifespan</w:t>
            </w:r>
          </w:p>
        </w:tc>
        <w:tc>
          <w:tcPr>
            <w:tcW w:w="561" w:type="dxa"/>
          </w:tcPr>
          <w:p>
            <w:pPr>
              <w:pStyle w:val="TableParagraph"/>
              <w:spacing w:before="66"/>
              <w:ind w:right="195"/>
              <w:jc w:val="right"/>
              <w:rPr>
                <w:b w:val="0"/>
                <w:sz w:val="24"/>
              </w:rPr>
            </w:pPr>
            <w:r>
              <w:rPr>
                <w:b w:val="0"/>
                <w:sz w:val="24"/>
              </w:rPr>
              <w:t>3</w:t>
            </w:r>
          </w:p>
        </w:tc>
        <w:tc>
          <w:tcPr>
            <w:tcW w:w="1146" w:type="dxa"/>
          </w:tcPr>
          <w:p>
            <w:pPr>
              <w:pStyle w:val="TableParagraph"/>
              <w:spacing w:before="66"/>
              <w:ind w:right="202"/>
              <w:jc w:val="right"/>
              <w:rPr>
                <w:b w:val="0"/>
                <w:sz w:val="24"/>
              </w:rPr>
            </w:pPr>
            <w:r>
              <w:rPr>
                <w:b w:val="0"/>
                <w:sz w:val="24"/>
              </w:rPr>
              <w:t>Elective</w:t>
            </w:r>
          </w:p>
        </w:tc>
        <w:tc>
          <w:tcPr>
            <w:tcW w:w="3387" w:type="dxa"/>
          </w:tcPr>
          <w:p>
            <w:pPr>
              <w:pStyle w:val="TableParagraph"/>
              <w:spacing w:before="66"/>
              <w:ind w:left="198"/>
              <w:rPr>
                <w:b w:val="0"/>
                <w:sz w:val="24"/>
              </w:rPr>
            </w:pPr>
            <w:r>
              <w:rPr>
                <w:b w:val="0"/>
                <w:sz w:val="24"/>
              </w:rPr>
              <w:t>Elective</w:t>
            </w:r>
          </w:p>
        </w:tc>
        <w:tc>
          <w:tcPr>
            <w:tcW w:w="418" w:type="dxa"/>
          </w:tcPr>
          <w:p>
            <w:pPr>
              <w:pStyle w:val="TableParagraph"/>
              <w:spacing w:before="66"/>
              <w:ind w:left="31"/>
              <w:jc w:val="center"/>
              <w:rPr>
                <w:b w:val="0"/>
                <w:sz w:val="24"/>
              </w:rPr>
            </w:pPr>
            <w:r>
              <w:rPr>
                <w:b w:val="0"/>
                <w:sz w:val="24"/>
              </w:rPr>
              <w:t>3</w:t>
            </w:r>
          </w:p>
        </w:tc>
      </w:tr>
      <w:tr>
        <w:trPr>
          <w:trHeight w:val="431" w:hRule="atLeast"/>
        </w:trPr>
        <w:tc>
          <w:tcPr>
            <w:tcW w:w="989" w:type="dxa"/>
            <w:shd w:val="clear" w:color="auto" w:fill="E5E5E5"/>
          </w:tcPr>
          <w:p>
            <w:pPr>
              <w:pStyle w:val="TableParagraph"/>
              <w:spacing w:before="66"/>
              <w:ind w:right="199"/>
              <w:jc w:val="right"/>
              <w:rPr>
                <w:b w:val="0"/>
                <w:sz w:val="24"/>
              </w:rPr>
            </w:pPr>
            <w:r>
              <w:rPr>
                <w:b w:val="0"/>
                <w:sz w:val="24"/>
              </w:rPr>
              <w:t>7022</w:t>
            </w:r>
          </w:p>
        </w:tc>
        <w:tc>
          <w:tcPr>
            <w:tcW w:w="3317" w:type="dxa"/>
            <w:shd w:val="clear" w:color="auto" w:fill="E5E5E5"/>
          </w:tcPr>
          <w:p>
            <w:pPr>
              <w:pStyle w:val="TableParagraph"/>
              <w:spacing w:before="66"/>
              <w:ind w:left="201"/>
              <w:rPr>
                <w:b w:val="0"/>
                <w:sz w:val="24"/>
              </w:rPr>
            </w:pPr>
            <w:r>
              <w:rPr>
                <w:b w:val="0"/>
                <w:sz w:val="24"/>
              </w:rPr>
              <w:t>Organizations &amp; Communities</w:t>
            </w:r>
          </w:p>
        </w:tc>
        <w:tc>
          <w:tcPr>
            <w:tcW w:w="561" w:type="dxa"/>
            <w:shd w:val="clear" w:color="auto" w:fill="E5E5E5"/>
          </w:tcPr>
          <w:p>
            <w:pPr>
              <w:pStyle w:val="TableParagraph"/>
              <w:spacing w:before="66"/>
              <w:ind w:right="195"/>
              <w:jc w:val="right"/>
              <w:rPr>
                <w:b w:val="0"/>
                <w:sz w:val="24"/>
              </w:rPr>
            </w:pPr>
            <w:r>
              <w:rPr>
                <w:b w:val="0"/>
                <w:sz w:val="24"/>
              </w:rPr>
              <w:t>3</w:t>
            </w:r>
          </w:p>
        </w:tc>
        <w:tc>
          <w:tcPr>
            <w:tcW w:w="1146" w:type="dxa"/>
            <w:shd w:val="clear" w:color="auto" w:fill="E5E5E5"/>
          </w:tcPr>
          <w:p>
            <w:pPr>
              <w:pStyle w:val="TableParagraph"/>
              <w:spacing w:before="66"/>
              <w:ind w:right="200"/>
              <w:jc w:val="right"/>
              <w:rPr>
                <w:b w:val="0"/>
                <w:sz w:val="24"/>
              </w:rPr>
            </w:pPr>
            <w:r>
              <w:rPr>
                <w:b w:val="0"/>
                <w:sz w:val="24"/>
              </w:rPr>
              <w:t>7030</w:t>
            </w:r>
          </w:p>
        </w:tc>
        <w:tc>
          <w:tcPr>
            <w:tcW w:w="3387" w:type="dxa"/>
            <w:shd w:val="clear" w:color="auto" w:fill="E5E5E5"/>
          </w:tcPr>
          <w:p>
            <w:pPr>
              <w:pStyle w:val="TableParagraph"/>
              <w:spacing w:before="66"/>
              <w:ind w:left="198"/>
              <w:rPr>
                <w:b w:val="0"/>
                <w:sz w:val="24"/>
              </w:rPr>
            </w:pPr>
            <w:r>
              <w:rPr>
                <w:b w:val="0"/>
                <w:sz w:val="24"/>
              </w:rPr>
              <w:t>Social Welfare Policies/Services</w:t>
            </w:r>
          </w:p>
        </w:tc>
        <w:tc>
          <w:tcPr>
            <w:tcW w:w="418" w:type="dxa"/>
            <w:shd w:val="clear" w:color="auto" w:fill="E5E5E5"/>
          </w:tcPr>
          <w:p>
            <w:pPr>
              <w:pStyle w:val="TableParagraph"/>
              <w:spacing w:before="66"/>
              <w:ind w:left="31"/>
              <w:jc w:val="center"/>
              <w:rPr>
                <w:b w:val="0"/>
                <w:sz w:val="24"/>
              </w:rPr>
            </w:pPr>
            <w:r>
              <w:rPr>
                <w:b w:val="0"/>
                <w:sz w:val="24"/>
              </w:rPr>
              <w:t>3</w:t>
            </w:r>
          </w:p>
        </w:tc>
      </w:tr>
      <w:tr>
        <w:trPr>
          <w:trHeight w:val="355" w:hRule="atLeast"/>
        </w:trPr>
        <w:tc>
          <w:tcPr>
            <w:tcW w:w="989" w:type="dxa"/>
          </w:tcPr>
          <w:p>
            <w:pPr>
              <w:pStyle w:val="TableParagraph"/>
              <w:spacing w:line="269" w:lineRule="exact" w:before="66"/>
              <w:ind w:right="199"/>
              <w:jc w:val="right"/>
              <w:rPr>
                <w:b w:val="0"/>
                <w:sz w:val="24"/>
              </w:rPr>
            </w:pPr>
            <w:r>
              <w:rPr>
                <w:b w:val="0"/>
                <w:sz w:val="24"/>
              </w:rPr>
              <w:t>7051</w:t>
            </w:r>
          </w:p>
        </w:tc>
        <w:tc>
          <w:tcPr>
            <w:tcW w:w="3317" w:type="dxa"/>
          </w:tcPr>
          <w:p>
            <w:pPr>
              <w:pStyle w:val="TableParagraph"/>
              <w:spacing w:line="269" w:lineRule="exact" w:before="66"/>
              <w:ind w:left="201"/>
              <w:rPr>
                <w:b w:val="0"/>
                <w:sz w:val="24"/>
              </w:rPr>
            </w:pPr>
            <w:r>
              <w:rPr>
                <w:b w:val="0"/>
                <w:sz w:val="24"/>
              </w:rPr>
              <w:t>Field Placement I</w:t>
            </w:r>
          </w:p>
        </w:tc>
        <w:tc>
          <w:tcPr>
            <w:tcW w:w="561" w:type="dxa"/>
          </w:tcPr>
          <w:p>
            <w:pPr>
              <w:pStyle w:val="TableParagraph"/>
              <w:spacing w:line="269" w:lineRule="exact" w:before="66"/>
              <w:ind w:right="195"/>
              <w:jc w:val="right"/>
              <w:rPr>
                <w:b w:val="0"/>
                <w:sz w:val="24"/>
              </w:rPr>
            </w:pPr>
            <w:r>
              <w:rPr>
                <w:b w:val="0"/>
                <w:sz w:val="24"/>
              </w:rPr>
              <w:t>3</w:t>
            </w:r>
          </w:p>
        </w:tc>
        <w:tc>
          <w:tcPr>
            <w:tcW w:w="1146" w:type="dxa"/>
          </w:tcPr>
          <w:p>
            <w:pPr>
              <w:pStyle w:val="TableParagraph"/>
              <w:spacing w:line="269" w:lineRule="exact" w:before="66"/>
              <w:ind w:right="200"/>
              <w:jc w:val="right"/>
              <w:rPr>
                <w:b w:val="0"/>
                <w:sz w:val="24"/>
              </w:rPr>
            </w:pPr>
            <w:r>
              <w:rPr>
                <w:b w:val="0"/>
                <w:sz w:val="24"/>
              </w:rPr>
              <w:t>7052</w:t>
            </w:r>
          </w:p>
        </w:tc>
        <w:tc>
          <w:tcPr>
            <w:tcW w:w="3387" w:type="dxa"/>
          </w:tcPr>
          <w:p>
            <w:pPr>
              <w:pStyle w:val="TableParagraph"/>
              <w:spacing w:line="269" w:lineRule="exact" w:before="66"/>
              <w:ind w:left="198"/>
              <w:rPr>
                <w:b w:val="0"/>
                <w:sz w:val="24"/>
              </w:rPr>
            </w:pPr>
            <w:r>
              <w:rPr>
                <w:b w:val="0"/>
                <w:sz w:val="24"/>
              </w:rPr>
              <w:t>Field Placement II</w:t>
            </w:r>
          </w:p>
        </w:tc>
        <w:tc>
          <w:tcPr>
            <w:tcW w:w="418" w:type="dxa"/>
          </w:tcPr>
          <w:p>
            <w:pPr>
              <w:pStyle w:val="TableParagraph"/>
              <w:spacing w:line="269" w:lineRule="exact" w:before="66"/>
              <w:ind w:left="31"/>
              <w:jc w:val="center"/>
              <w:rPr>
                <w:b w:val="0"/>
                <w:sz w:val="24"/>
              </w:rPr>
            </w:pPr>
            <w:r>
              <w:rPr>
                <w:b w:val="0"/>
                <w:sz w:val="24"/>
              </w:rPr>
              <w:t>3</w:t>
            </w:r>
          </w:p>
        </w:tc>
      </w:tr>
    </w:tbl>
    <w:p>
      <w:pPr>
        <w:pStyle w:val="BodyText"/>
        <w:spacing w:before="74"/>
        <w:ind w:left="1142" w:right="523"/>
        <w:jc w:val="center"/>
        <w:rPr>
          <w:rFonts w:ascii="Calibri Light"/>
          <w:b w:val="0"/>
        </w:rPr>
      </w:pPr>
      <w:r>
        <w:rPr>
          <w:rFonts w:ascii="Calibri Light"/>
          <w:b w:val="0"/>
        </w:rPr>
        <w:t>* If students have successfully completed all their foundation coursework, they may take elective courses in the summer between year 1 and 2.</w:t>
      </w:r>
    </w:p>
    <w:p>
      <w:pPr>
        <w:pStyle w:val="BodyText"/>
        <w:spacing w:before="11"/>
        <w:rPr>
          <w:rFonts w:ascii="Calibri Light"/>
          <w:b w:val="0"/>
          <w:sz w:val="23"/>
        </w:rPr>
      </w:pPr>
    </w:p>
    <w:p>
      <w:pPr>
        <w:pStyle w:val="BodyText"/>
        <w:ind w:left="3756" w:right="3139"/>
        <w:jc w:val="center"/>
        <w:rPr>
          <w:rFonts w:ascii="Calibri Light"/>
          <w:b w:val="0"/>
        </w:rPr>
      </w:pPr>
      <w:r>
        <w:rPr>
          <w:rFonts w:ascii="Calibri Light"/>
          <w:b w:val="0"/>
        </w:rPr>
        <w:t>Year 2 Concentration*</w:t>
      </w:r>
    </w:p>
    <w:p>
      <w:pPr>
        <w:pStyle w:val="BodyText"/>
        <w:ind w:left="912"/>
        <w:rPr>
          <w:rFonts w:ascii="Calibri Light"/>
          <w:sz w:val="20"/>
        </w:rPr>
      </w:pPr>
      <w:r>
        <w:rPr>
          <w:rFonts w:ascii="Calibri Light"/>
          <w:sz w:val="20"/>
        </w:rPr>
        <w:pict>
          <v:shape style="width:490.85pt;height:14.65pt;mso-position-horizontal-relative:char;mso-position-vertical-relative:line" type="#_x0000_t202" filled="true" fillcolor="#44546a" stroked="false">
            <w10:anchorlock/>
            <v:textbox inset="0,0,0,0">
              <w:txbxContent>
                <w:p>
                  <w:pPr>
                    <w:pStyle w:val="BodyText"/>
                    <w:tabs>
                      <w:tab w:pos="7523" w:val="left" w:leader="none"/>
                    </w:tabs>
                    <w:spacing w:line="286" w:lineRule="exact" w:before="6"/>
                    <w:ind w:left="2205"/>
                    <w:rPr>
                      <w:rFonts w:ascii="Calibri Light"/>
                      <w:b w:val="0"/>
                    </w:rPr>
                  </w:pPr>
                  <w:r>
                    <w:rPr>
                      <w:rFonts w:ascii="Calibri Light"/>
                      <w:b w:val="0"/>
                      <w:color w:val="FFFFFF"/>
                    </w:rPr>
                    <w:t>FALL</w:t>
                    <w:tab/>
                    <w:t>SPRING</w:t>
                  </w:r>
                </w:p>
              </w:txbxContent>
            </v:textbox>
            <v:fill type="solid"/>
          </v:shape>
        </w:pict>
      </w:r>
      <w:r>
        <w:rPr>
          <w:rFonts w:ascii="Calibri Light"/>
          <w:sz w:val="20"/>
        </w:rPr>
      </w:r>
    </w:p>
    <w:p>
      <w:pPr>
        <w:pStyle w:val="BodyText"/>
        <w:spacing w:before="9" w:after="1"/>
        <w:rPr>
          <w:rFonts w:ascii="Calibri Light"/>
          <w:b w:val="0"/>
          <w:sz w:val="7"/>
        </w:rPr>
      </w:pPr>
    </w:p>
    <w:tbl>
      <w:tblPr>
        <w:tblW w:w="0" w:type="auto"/>
        <w:jc w:val="left"/>
        <w:tblInd w:w="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0"/>
        <w:gridCol w:w="3247"/>
        <w:gridCol w:w="550"/>
        <w:gridCol w:w="1065"/>
        <w:gridCol w:w="3421"/>
        <w:gridCol w:w="482"/>
      </w:tblGrid>
      <w:tr>
        <w:trPr>
          <w:trHeight w:val="301" w:hRule="atLeast"/>
        </w:trPr>
        <w:tc>
          <w:tcPr>
            <w:tcW w:w="1050" w:type="dxa"/>
          </w:tcPr>
          <w:p>
            <w:pPr>
              <w:pStyle w:val="TableParagraph"/>
              <w:spacing w:line="244" w:lineRule="exact"/>
              <w:ind w:left="145" w:right="115"/>
              <w:jc w:val="center"/>
              <w:rPr>
                <w:b w:val="0"/>
                <w:sz w:val="24"/>
              </w:rPr>
            </w:pPr>
            <w:r>
              <w:rPr>
                <w:b w:val="0"/>
                <w:sz w:val="24"/>
              </w:rPr>
              <w:t>7016</w:t>
            </w:r>
          </w:p>
        </w:tc>
        <w:tc>
          <w:tcPr>
            <w:tcW w:w="3247" w:type="dxa"/>
          </w:tcPr>
          <w:p>
            <w:pPr>
              <w:pStyle w:val="TableParagraph"/>
              <w:spacing w:line="244" w:lineRule="exact"/>
              <w:ind w:left="138"/>
              <w:rPr>
                <w:b w:val="0"/>
                <w:sz w:val="24"/>
              </w:rPr>
            </w:pPr>
            <w:r>
              <w:rPr>
                <w:b w:val="0"/>
                <w:sz w:val="24"/>
              </w:rPr>
              <w:t>Adv. Individual Child/Youth or</w:t>
            </w:r>
          </w:p>
        </w:tc>
        <w:tc>
          <w:tcPr>
            <w:tcW w:w="550" w:type="dxa"/>
          </w:tcPr>
          <w:p>
            <w:pPr>
              <w:pStyle w:val="TableParagraph"/>
              <w:spacing w:line="244" w:lineRule="exact"/>
              <w:ind w:left="68"/>
              <w:jc w:val="center"/>
              <w:rPr>
                <w:b w:val="0"/>
                <w:sz w:val="24"/>
              </w:rPr>
            </w:pPr>
            <w:r>
              <w:rPr>
                <w:b w:val="0"/>
                <w:sz w:val="24"/>
              </w:rPr>
              <w:t>3</w:t>
            </w:r>
          </w:p>
        </w:tc>
        <w:tc>
          <w:tcPr>
            <w:tcW w:w="1065" w:type="dxa"/>
          </w:tcPr>
          <w:p>
            <w:pPr>
              <w:pStyle w:val="TableParagraph"/>
              <w:spacing w:line="244" w:lineRule="exact"/>
              <w:ind w:left="158" w:right="117"/>
              <w:jc w:val="center"/>
              <w:rPr>
                <w:b w:val="0"/>
                <w:sz w:val="24"/>
              </w:rPr>
            </w:pPr>
            <w:r>
              <w:rPr>
                <w:b w:val="0"/>
                <w:sz w:val="24"/>
              </w:rPr>
              <w:t>7026</w:t>
            </w:r>
          </w:p>
        </w:tc>
        <w:tc>
          <w:tcPr>
            <w:tcW w:w="3421" w:type="dxa"/>
          </w:tcPr>
          <w:p>
            <w:pPr>
              <w:pStyle w:val="TableParagraph"/>
              <w:spacing w:line="244" w:lineRule="exact"/>
              <w:ind w:left="138"/>
              <w:rPr>
                <w:b w:val="0"/>
                <w:sz w:val="24"/>
              </w:rPr>
            </w:pPr>
            <w:r>
              <w:rPr>
                <w:b w:val="0"/>
                <w:sz w:val="24"/>
              </w:rPr>
              <w:t>Evaluative Research</w:t>
            </w:r>
          </w:p>
        </w:tc>
        <w:tc>
          <w:tcPr>
            <w:tcW w:w="482" w:type="dxa"/>
          </w:tcPr>
          <w:p>
            <w:pPr>
              <w:pStyle w:val="TableParagraph"/>
              <w:spacing w:line="244" w:lineRule="exact"/>
              <w:ind w:right="124"/>
              <w:jc w:val="right"/>
              <w:rPr>
                <w:b w:val="0"/>
                <w:sz w:val="24"/>
              </w:rPr>
            </w:pPr>
            <w:r>
              <w:rPr>
                <w:b w:val="0"/>
                <w:sz w:val="24"/>
              </w:rPr>
              <w:t>3</w:t>
            </w:r>
          </w:p>
        </w:tc>
      </w:tr>
      <w:tr>
        <w:trPr>
          <w:trHeight w:val="332" w:hRule="atLeast"/>
        </w:trPr>
        <w:tc>
          <w:tcPr>
            <w:tcW w:w="1050" w:type="dxa"/>
          </w:tcPr>
          <w:p>
            <w:pPr>
              <w:pStyle w:val="TableParagraph"/>
              <w:spacing w:before="12"/>
              <w:ind w:left="145" w:right="115"/>
              <w:jc w:val="center"/>
              <w:rPr>
                <w:b w:val="0"/>
                <w:sz w:val="24"/>
              </w:rPr>
            </w:pPr>
            <w:r>
              <w:rPr>
                <w:b w:val="0"/>
                <w:sz w:val="24"/>
              </w:rPr>
              <w:t>7018</w:t>
            </w:r>
          </w:p>
        </w:tc>
        <w:tc>
          <w:tcPr>
            <w:tcW w:w="3247" w:type="dxa"/>
          </w:tcPr>
          <w:p>
            <w:pPr>
              <w:pStyle w:val="TableParagraph"/>
              <w:spacing w:before="12"/>
              <w:ind w:left="138"/>
              <w:rPr>
                <w:b w:val="0"/>
                <w:sz w:val="24"/>
              </w:rPr>
            </w:pPr>
            <w:r>
              <w:rPr>
                <w:b w:val="0"/>
                <w:sz w:val="24"/>
              </w:rPr>
              <w:t>Adv. Individual Adults</w:t>
            </w:r>
          </w:p>
        </w:tc>
        <w:tc>
          <w:tcPr>
            <w:tcW w:w="550" w:type="dxa"/>
          </w:tcPr>
          <w:p>
            <w:pPr>
              <w:pStyle w:val="TableParagraph"/>
              <w:rPr>
                <w:rFonts w:ascii="Times New Roman"/>
                <w:sz w:val="22"/>
              </w:rPr>
            </w:pPr>
          </w:p>
        </w:tc>
        <w:tc>
          <w:tcPr>
            <w:tcW w:w="1065" w:type="dxa"/>
          </w:tcPr>
          <w:p>
            <w:pPr>
              <w:pStyle w:val="TableParagraph"/>
              <w:rPr>
                <w:rFonts w:ascii="Times New Roman"/>
                <w:sz w:val="22"/>
              </w:rPr>
            </w:pPr>
          </w:p>
        </w:tc>
        <w:tc>
          <w:tcPr>
            <w:tcW w:w="3421" w:type="dxa"/>
          </w:tcPr>
          <w:p>
            <w:pPr>
              <w:pStyle w:val="TableParagraph"/>
              <w:rPr>
                <w:rFonts w:ascii="Times New Roman"/>
                <w:sz w:val="22"/>
              </w:rPr>
            </w:pPr>
          </w:p>
        </w:tc>
        <w:tc>
          <w:tcPr>
            <w:tcW w:w="482" w:type="dxa"/>
          </w:tcPr>
          <w:p>
            <w:pPr>
              <w:pStyle w:val="TableParagraph"/>
              <w:rPr>
                <w:rFonts w:ascii="Times New Roman"/>
                <w:sz w:val="22"/>
              </w:rPr>
            </w:pPr>
          </w:p>
        </w:tc>
      </w:tr>
      <w:tr>
        <w:trPr>
          <w:trHeight w:val="418" w:hRule="atLeast"/>
        </w:trPr>
        <w:tc>
          <w:tcPr>
            <w:tcW w:w="1050" w:type="dxa"/>
            <w:shd w:val="clear" w:color="auto" w:fill="E5E5E5"/>
          </w:tcPr>
          <w:p>
            <w:pPr>
              <w:pStyle w:val="TableParagraph"/>
              <w:spacing w:before="69"/>
              <w:ind w:left="145" w:right="115"/>
              <w:jc w:val="center"/>
              <w:rPr>
                <w:b w:val="0"/>
                <w:sz w:val="24"/>
              </w:rPr>
            </w:pPr>
            <w:r>
              <w:rPr>
                <w:b w:val="0"/>
                <w:sz w:val="24"/>
              </w:rPr>
              <w:t>7025</w:t>
            </w:r>
          </w:p>
        </w:tc>
        <w:tc>
          <w:tcPr>
            <w:tcW w:w="3247" w:type="dxa"/>
            <w:shd w:val="clear" w:color="auto" w:fill="E5E5E5"/>
          </w:tcPr>
          <w:p>
            <w:pPr>
              <w:pStyle w:val="TableParagraph"/>
              <w:spacing w:before="69"/>
              <w:ind w:left="138"/>
              <w:rPr>
                <w:b w:val="0"/>
                <w:sz w:val="24"/>
              </w:rPr>
            </w:pPr>
            <w:r>
              <w:rPr>
                <w:b w:val="0"/>
                <w:sz w:val="24"/>
              </w:rPr>
              <w:t>Research Methods</w:t>
            </w:r>
          </w:p>
        </w:tc>
        <w:tc>
          <w:tcPr>
            <w:tcW w:w="550" w:type="dxa"/>
            <w:shd w:val="clear" w:color="auto" w:fill="E5E5E5"/>
          </w:tcPr>
          <w:p>
            <w:pPr>
              <w:pStyle w:val="TableParagraph"/>
              <w:spacing w:before="69"/>
              <w:ind w:left="68"/>
              <w:jc w:val="center"/>
              <w:rPr>
                <w:b w:val="0"/>
                <w:sz w:val="24"/>
              </w:rPr>
            </w:pPr>
            <w:r>
              <w:rPr>
                <w:b w:val="0"/>
                <w:sz w:val="24"/>
              </w:rPr>
              <w:t>3</w:t>
            </w:r>
          </w:p>
        </w:tc>
        <w:tc>
          <w:tcPr>
            <w:tcW w:w="1065" w:type="dxa"/>
            <w:shd w:val="clear" w:color="auto" w:fill="E5E5E5"/>
          </w:tcPr>
          <w:p>
            <w:pPr>
              <w:pStyle w:val="TableParagraph"/>
              <w:spacing w:before="69"/>
              <w:ind w:left="158" w:right="117"/>
              <w:jc w:val="center"/>
              <w:rPr>
                <w:b w:val="0"/>
                <w:sz w:val="24"/>
              </w:rPr>
            </w:pPr>
            <w:r>
              <w:rPr>
                <w:b w:val="0"/>
                <w:sz w:val="24"/>
              </w:rPr>
              <w:t>7032</w:t>
            </w:r>
          </w:p>
        </w:tc>
        <w:tc>
          <w:tcPr>
            <w:tcW w:w="3421" w:type="dxa"/>
            <w:shd w:val="clear" w:color="auto" w:fill="E5E5E5"/>
          </w:tcPr>
          <w:p>
            <w:pPr>
              <w:pStyle w:val="TableParagraph"/>
              <w:spacing w:before="69"/>
              <w:ind w:left="138"/>
              <w:rPr>
                <w:b w:val="0"/>
                <w:sz w:val="24"/>
              </w:rPr>
            </w:pPr>
            <w:r>
              <w:rPr>
                <w:b w:val="0"/>
                <w:sz w:val="24"/>
              </w:rPr>
              <w:t>Adv. Community Child/Youth or</w:t>
            </w:r>
          </w:p>
        </w:tc>
        <w:tc>
          <w:tcPr>
            <w:tcW w:w="482" w:type="dxa"/>
            <w:shd w:val="clear" w:color="auto" w:fill="E5E5E5"/>
          </w:tcPr>
          <w:p>
            <w:pPr>
              <w:pStyle w:val="TableParagraph"/>
              <w:spacing w:before="69"/>
              <w:ind w:right="124"/>
              <w:jc w:val="right"/>
              <w:rPr>
                <w:b w:val="0"/>
                <w:sz w:val="24"/>
              </w:rPr>
            </w:pPr>
            <w:r>
              <w:rPr>
                <w:b w:val="0"/>
                <w:sz w:val="24"/>
              </w:rPr>
              <w:t>3</w:t>
            </w:r>
          </w:p>
        </w:tc>
      </w:tr>
      <w:tr>
        <w:trPr>
          <w:trHeight w:val="301" w:hRule="atLeast"/>
        </w:trPr>
        <w:tc>
          <w:tcPr>
            <w:tcW w:w="1050" w:type="dxa"/>
            <w:shd w:val="clear" w:color="auto" w:fill="E5E5E5"/>
          </w:tcPr>
          <w:p>
            <w:pPr>
              <w:pStyle w:val="TableParagraph"/>
              <w:rPr>
                <w:rFonts w:ascii="Times New Roman"/>
                <w:sz w:val="22"/>
              </w:rPr>
            </w:pPr>
          </w:p>
        </w:tc>
        <w:tc>
          <w:tcPr>
            <w:tcW w:w="3247" w:type="dxa"/>
            <w:shd w:val="clear" w:color="auto" w:fill="E5E5E5"/>
          </w:tcPr>
          <w:p>
            <w:pPr>
              <w:pStyle w:val="TableParagraph"/>
              <w:rPr>
                <w:rFonts w:ascii="Times New Roman"/>
                <w:sz w:val="22"/>
              </w:rPr>
            </w:pPr>
          </w:p>
        </w:tc>
        <w:tc>
          <w:tcPr>
            <w:tcW w:w="550" w:type="dxa"/>
            <w:shd w:val="clear" w:color="auto" w:fill="E5E5E5"/>
          </w:tcPr>
          <w:p>
            <w:pPr>
              <w:pStyle w:val="TableParagraph"/>
              <w:rPr>
                <w:rFonts w:ascii="Times New Roman"/>
                <w:sz w:val="22"/>
              </w:rPr>
            </w:pPr>
          </w:p>
        </w:tc>
        <w:tc>
          <w:tcPr>
            <w:tcW w:w="1065" w:type="dxa"/>
            <w:shd w:val="clear" w:color="auto" w:fill="E5E5E5"/>
          </w:tcPr>
          <w:p>
            <w:pPr>
              <w:pStyle w:val="TableParagraph"/>
              <w:spacing w:line="264" w:lineRule="exact" w:before="12"/>
              <w:ind w:left="158" w:right="117"/>
              <w:jc w:val="center"/>
              <w:rPr>
                <w:b w:val="0"/>
                <w:sz w:val="24"/>
              </w:rPr>
            </w:pPr>
            <w:r>
              <w:rPr>
                <w:b w:val="0"/>
                <w:sz w:val="24"/>
              </w:rPr>
              <w:t>7033</w:t>
            </w:r>
          </w:p>
        </w:tc>
        <w:tc>
          <w:tcPr>
            <w:tcW w:w="3421" w:type="dxa"/>
            <w:shd w:val="clear" w:color="auto" w:fill="E5E5E5"/>
          </w:tcPr>
          <w:p>
            <w:pPr>
              <w:pStyle w:val="TableParagraph"/>
              <w:spacing w:line="264" w:lineRule="exact" w:before="12"/>
              <w:ind w:left="138"/>
              <w:rPr>
                <w:b w:val="0"/>
                <w:sz w:val="24"/>
              </w:rPr>
            </w:pPr>
            <w:r>
              <w:rPr>
                <w:b w:val="0"/>
                <w:sz w:val="24"/>
              </w:rPr>
              <w:t>Adv. Community Adults</w:t>
            </w:r>
          </w:p>
        </w:tc>
        <w:tc>
          <w:tcPr>
            <w:tcW w:w="482" w:type="dxa"/>
            <w:shd w:val="clear" w:color="auto" w:fill="E5E5E5"/>
          </w:tcPr>
          <w:p>
            <w:pPr>
              <w:pStyle w:val="TableParagraph"/>
              <w:rPr>
                <w:rFonts w:ascii="Times New Roman"/>
                <w:sz w:val="22"/>
              </w:rPr>
            </w:pPr>
          </w:p>
        </w:tc>
      </w:tr>
      <w:tr>
        <w:trPr>
          <w:trHeight w:val="518" w:hRule="atLeast"/>
        </w:trPr>
        <w:tc>
          <w:tcPr>
            <w:tcW w:w="1050" w:type="dxa"/>
          </w:tcPr>
          <w:p>
            <w:pPr>
              <w:pStyle w:val="TableParagraph"/>
              <w:spacing w:before="114"/>
              <w:ind w:left="145" w:right="117"/>
              <w:jc w:val="center"/>
              <w:rPr>
                <w:b w:val="0"/>
                <w:sz w:val="24"/>
              </w:rPr>
            </w:pPr>
            <w:r>
              <w:rPr>
                <w:b w:val="0"/>
                <w:sz w:val="24"/>
              </w:rPr>
              <w:t>Elective</w:t>
            </w:r>
          </w:p>
        </w:tc>
        <w:tc>
          <w:tcPr>
            <w:tcW w:w="3247" w:type="dxa"/>
          </w:tcPr>
          <w:p>
            <w:pPr>
              <w:pStyle w:val="TableParagraph"/>
              <w:spacing w:before="114"/>
              <w:ind w:left="138"/>
              <w:rPr>
                <w:b w:val="0"/>
                <w:sz w:val="24"/>
              </w:rPr>
            </w:pPr>
            <w:r>
              <w:rPr>
                <w:b w:val="0"/>
                <w:sz w:val="24"/>
              </w:rPr>
              <w:t>Elective</w:t>
            </w:r>
          </w:p>
        </w:tc>
        <w:tc>
          <w:tcPr>
            <w:tcW w:w="550" w:type="dxa"/>
          </w:tcPr>
          <w:p>
            <w:pPr>
              <w:pStyle w:val="TableParagraph"/>
              <w:spacing w:before="114"/>
              <w:ind w:left="64"/>
              <w:jc w:val="center"/>
              <w:rPr>
                <w:b w:val="0"/>
                <w:sz w:val="24"/>
              </w:rPr>
            </w:pPr>
            <w:r>
              <w:rPr>
                <w:b w:val="0"/>
                <w:sz w:val="24"/>
              </w:rPr>
              <w:t>3</w:t>
            </w:r>
          </w:p>
        </w:tc>
        <w:tc>
          <w:tcPr>
            <w:tcW w:w="1065" w:type="dxa"/>
          </w:tcPr>
          <w:p>
            <w:pPr>
              <w:pStyle w:val="TableParagraph"/>
              <w:spacing w:before="114"/>
              <w:ind w:left="161" w:right="117"/>
              <w:jc w:val="center"/>
              <w:rPr>
                <w:b w:val="0"/>
                <w:sz w:val="24"/>
              </w:rPr>
            </w:pPr>
            <w:r>
              <w:rPr>
                <w:b w:val="0"/>
                <w:sz w:val="24"/>
              </w:rPr>
              <w:t>Elective</w:t>
            </w:r>
          </w:p>
        </w:tc>
        <w:tc>
          <w:tcPr>
            <w:tcW w:w="3421" w:type="dxa"/>
          </w:tcPr>
          <w:p>
            <w:pPr>
              <w:pStyle w:val="TableParagraph"/>
              <w:spacing w:before="114"/>
              <w:ind w:left="138"/>
              <w:rPr>
                <w:b w:val="0"/>
                <w:sz w:val="24"/>
              </w:rPr>
            </w:pPr>
            <w:r>
              <w:rPr>
                <w:b w:val="0"/>
                <w:sz w:val="24"/>
              </w:rPr>
              <w:t>Elective</w:t>
            </w:r>
          </w:p>
        </w:tc>
        <w:tc>
          <w:tcPr>
            <w:tcW w:w="482" w:type="dxa"/>
          </w:tcPr>
          <w:p>
            <w:pPr>
              <w:pStyle w:val="TableParagraph"/>
              <w:spacing w:before="114"/>
              <w:ind w:right="124"/>
              <w:jc w:val="right"/>
              <w:rPr>
                <w:b w:val="0"/>
                <w:sz w:val="24"/>
              </w:rPr>
            </w:pPr>
            <w:r>
              <w:rPr>
                <w:b w:val="0"/>
                <w:sz w:val="24"/>
              </w:rPr>
              <w:t>3</w:t>
            </w:r>
          </w:p>
        </w:tc>
      </w:tr>
      <w:tr>
        <w:trPr>
          <w:trHeight w:val="431" w:hRule="atLeast"/>
        </w:trPr>
        <w:tc>
          <w:tcPr>
            <w:tcW w:w="1050" w:type="dxa"/>
            <w:shd w:val="clear" w:color="auto" w:fill="E5E5E5"/>
          </w:tcPr>
          <w:p>
            <w:pPr>
              <w:pStyle w:val="TableParagraph"/>
              <w:spacing w:before="66"/>
              <w:ind w:left="145" w:right="115"/>
              <w:jc w:val="center"/>
              <w:rPr>
                <w:b w:val="0"/>
                <w:sz w:val="24"/>
              </w:rPr>
            </w:pPr>
            <w:r>
              <w:rPr>
                <w:b w:val="0"/>
                <w:sz w:val="24"/>
              </w:rPr>
              <w:t>7053</w:t>
            </w:r>
          </w:p>
        </w:tc>
        <w:tc>
          <w:tcPr>
            <w:tcW w:w="3247" w:type="dxa"/>
            <w:shd w:val="clear" w:color="auto" w:fill="E5E5E5"/>
          </w:tcPr>
          <w:p>
            <w:pPr>
              <w:pStyle w:val="TableParagraph"/>
              <w:spacing w:before="66"/>
              <w:ind w:left="138"/>
              <w:rPr>
                <w:b w:val="0"/>
                <w:sz w:val="24"/>
              </w:rPr>
            </w:pPr>
            <w:r>
              <w:rPr>
                <w:b w:val="0"/>
                <w:sz w:val="24"/>
              </w:rPr>
              <w:t>Field Placement III</w:t>
            </w:r>
          </w:p>
        </w:tc>
        <w:tc>
          <w:tcPr>
            <w:tcW w:w="550" w:type="dxa"/>
            <w:shd w:val="clear" w:color="auto" w:fill="E5E5E5"/>
          </w:tcPr>
          <w:p>
            <w:pPr>
              <w:pStyle w:val="TableParagraph"/>
              <w:spacing w:before="66"/>
              <w:ind w:left="68"/>
              <w:jc w:val="center"/>
              <w:rPr>
                <w:b w:val="0"/>
                <w:sz w:val="24"/>
              </w:rPr>
            </w:pPr>
            <w:r>
              <w:rPr>
                <w:b w:val="0"/>
                <w:sz w:val="24"/>
              </w:rPr>
              <w:t>3</w:t>
            </w:r>
          </w:p>
        </w:tc>
        <w:tc>
          <w:tcPr>
            <w:tcW w:w="1065" w:type="dxa"/>
            <w:shd w:val="clear" w:color="auto" w:fill="E5E5E5"/>
          </w:tcPr>
          <w:p>
            <w:pPr>
              <w:pStyle w:val="TableParagraph"/>
              <w:spacing w:before="66"/>
              <w:ind w:left="158" w:right="117"/>
              <w:jc w:val="center"/>
              <w:rPr>
                <w:b w:val="0"/>
                <w:sz w:val="24"/>
              </w:rPr>
            </w:pPr>
            <w:r>
              <w:rPr>
                <w:b w:val="0"/>
                <w:sz w:val="24"/>
              </w:rPr>
              <w:t>7054</w:t>
            </w:r>
          </w:p>
        </w:tc>
        <w:tc>
          <w:tcPr>
            <w:tcW w:w="3421" w:type="dxa"/>
            <w:shd w:val="clear" w:color="auto" w:fill="E5E5E5"/>
          </w:tcPr>
          <w:p>
            <w:pPr>
              <w:pStyle w:val="TableParagraph"/>
              <w:spacing w:before="66"/>
              <w:ind w:left="138"/>
              <w:rPr>
                <w:b w:val="0"/>
                <w:sz w:val="24"/>
              </w:rPr>
            </w:pPr>
            <w:r>
              <w:rPr>
                <w:b w:val="0"/>
                <w:sz w:val="24"/>
              </w:rPr>
              <w:t>Field Placement IV</w:t>
            </w:r>
          </w:p>
        </w:tc>
        <w:tc>
          <w:tcPr>
            <w:tcW w:w="482" w:type="dxa"/>
            <w:shd w:val="clear" w:color="auto" w:fill="E5E5E5"/>
          </w:tcPr>
          <w:p>
            <w:pPr>
              <w:pStyle w:val="TableParagraph"/>
              <w:spacing w:before="66"/>
              <w:ind w:right="124"/>
              <w:jc w:val="right"/>
              <w:rPr>
                <w:b w:val="0"/>
                <w:sz w:val="24"/>
              </w:rPr>
            </w:pPr>
            <w:r>
              <w:rPr>
                <w:b w:val="0"/>
                <w:sz w:val="24"/>
              </w:rPr>
              <w:t>3</w:t>
            </w:r>
          </w:p>
        </w:tc>
      </w:tr>
      <w:tr>
        <w:trPr>
          <w:trHeight w:val="355" w:hRule="atLeast"/>
        </w:trPr>
        <w:tc>
          <w:tcPr>
            <w:tcW w:w="1050" w:type="dxa"/>
          </w:tcPr>
          <w:p>
            <w:pPr>
              <w:pStyle w:val="TableParagraph"/>
              <w:spacing w:line="269" w:lineRule="exact" w:before="66"/>
              <w:ind w:left="145" w:right="115"/>
              <w:jc w:val="center"/>
              <w:rPr>
                <w:b w:val="0"/>
                <w:sz w:val="24"/>
              </w:rPr>
            </w:pPr>
            <w:r>
              <w:rPr>
                <w:b w:val="0"/>
                <w:sz w:val="24"/>
              </w:rPr>
              <w:t>7055</w:t>
            </w:r>
          </w:p>
        </w:tc>
        <w:tc>
          <w:tcPr>
            <w:tcW w:w="3247" w:type="dxa"/>
          </w:tcPr>
          <w:p>
            <w:pPr>
              <w:pStyle w:val="TableParagraph"/>
              <w:spacing w:line="269" w:lineRule="exact" w:before="66"/>
              <w:ind w:left="138"/>
              <w:rPr>
                <w:b w:val="0"/>
                <w:sz w:val="24"/>
              </w:rPr>
            </w:pPr>
            <w:r>
              <w:rPr>
                <w:b w:val="0"/>
                <w:sz w:val="24"/>
              </w:rPr>
              <w:t>Integrative Field Seminar I</w:t>
            </w:r>
          </w:p>
        </w:tc>
        <w:tc>
          <w:tcPr>
            <w:tcW w:w="550" w:type="dxa"/>
          </w:tcPr>
          <w:p>
            <w:pPr>
              <w:pStyle w:val="TableParagraph"/>
              <w:spacing w:line="269" w:lineRule="exact" w:before="66"/>
              <w:ind w:left="64"/>
              <w:jc w:val="center"/>
              <w:rPr>
                <w:b w:val="0"/>
                <w:sz w:val="24"/>
              </w:rPr>
            </w:pPr>
            <w:r>
              <w:rPr>
                <w:b w:val="0"/>
                <w:sz w:val="24"/>
              </w:rPr>
              <w:t>3</w:t>
            </w:r>
          </w:p>
        </w:tc>
        <w:tc>
          <w:tcPr>
            <w:tcW w:w="1065" w:type="dxa"/>
          </w:tcPr>
          <w:p>
            <w:pPr>
              <w:pStyle w:val="TableParagraph"/>
              <w:spacing w:line="269" w:lineRule="exact" w:before="66"/>
              <w:ind w:left="158" w:right="117"/>
              <w:jc w:val="center"/>
              <w:rPr>
                <w:b w:val="0"/>
                <w:sz w:val="24"/>
              </w:rPr>
            </w:pPr>
            <w:r>
              <w:rPr>
                <w:b w:val="0"/>
                <w:sz w:val="24"/>
              </w:rPr>
              <w:t>7056</w:t>
            </w:r>
          </w:p>
        </w:tc>
        <w:tc>
          <w:tcPr>
            <w:tcW w:w="3421" w:type="dxa"/>
          </w:tcPr>
          <w:p>
            <w:pPr>
              <w:pStyle w:val="TableParagraph"/>
              <w:spacing w:line="269" w:lineRule="exact" w:before="66"/>
              <w:ind w:left="138"/>
              <w:rPr>
                <w:b w:val="0"/>
                <w:sz w:val="24"/>
              </w:rPr>
            </w:pPr>
            <w:r>
              <w:rPr>
                <w:b w:val="0"/>
                <w:sz w:val="24"/>
              </w:rPr>
              <w:t>Integrative Field Seminar II</w:t>
            </w:r>
          </w:p>
        </w:tc>
        <w:tc>
          <w:tcPr>
            <w:tcW w:w="482" w:type="dxa"/>
          </w:tcPr>
          <w:p>
            <w:pPr>
              <w:pStyle w:val="TableParagraph"/>
              <w:spacing w:line="269" w:lineRule="exact" w:before="66"/>
              <w:ind w:right="124"/>
              <w:jc w:val="right"/>
              <w:rPr>
                <w:b w:val="0"/>
                <w:sz w:val="24"/>
              </w:rPr>
            </w:pPr>
            <w:r>
              <w:rPr>
                <w:b w:val="0"/>
                <w:sz w:val="24"/>
              </w:rPr>
              <w:t>3</w:t>
            </w:r>
          </w:p>
        </w:tc>
      </w:tr>
    </w:tbl>
    <w:p>
      <w:pPr>
        <w:pStyle w:val="BodyText"/>
        <w:rPr>
          <w:rFonts w:ascii="Calibri Light"/>
          <w:b w:val="0"/>
          <w:sz w:val="20"/>
        </w:rPr>
      </w:pPr>
    </w:p>
    <w:p>
      <w:pPr>
        <w:pStyle w:val="BodyText"/>
        <w:rPr>
          <w:rFonts w:ascii="Calibri Light"/>
          <w:b w:val="0"/>
          <w:sz w:val="20"/>
        </w:rPr>
      </w:pPr>
    </w:p>
    <w:p>
      <w:pPr>
        <w:pStyle w:val="BodyText"/>
        <w:spacing w:before="4"/>
        <w:rPr>
          <w:rFonts w:ascii="Calibri Light"/>
          <w:b w:val="0"/>
          <w:sz w:val="21"/>
        </w:rPr>
      </w:pPr>
    </w:p>
    <w:p>
      <w:pPr>
        <w:spacing w:before="57"/>
        <w:ind w:left="799" w:right="0" w:firstLine="0"/>
        <w:jc w:val="left"/>
        <w:rPr>
          <w:rFonts w:ascii="Calibri Light"/>
          <w:b w:val="0"/>
          <w:sz w:val="22"/>
        </w:rPr>
      </w:pPr>
      <w:r>
        <w:rPr>
          <w:rFonts w:ascii="Calibri Light"/>
          <w:b w:val="0"/>
          <w:sz w:val="22"/>
        </w:rPr>
        <w:t>*Children, Youth, and Family concentration will take SWRK 7016 and SWRK 7032 for their concentration classes;</w:t>
      </w:r>
    </w:p>
    <w:p>
      <w:pPr>
        <w:spacing w:before="0"/>
        <w:ind w:left="799" w:right="0" w:firstLine="0"/>
        <w:jc w:val="left"/>
        <w:rPr>
          <w:rFonts w:ascii="Calibri Light"/>
          <w:b w:val="0"/>
          <w:sz w:val="22"/>
        </w:rPr>
      </w:pPr>
      <w:r>
        <w:rPr>
          <w:rFonts w:ascii="Calibri Light"/>
          <w:b w:val="0"/>
          <w:sz w:val="22"/>
        </w:rPr>
        <w:t>*Adults and Family concentration will take SWRK 7018 and SWRK 7033 for their concentration classes.</w:t>
      </w:r>
    </w:p>
    <w:p>
      <w:pPr>
        <w:spacing w:after="0"/>
        <w:jc w:val="left"/>
        <w:rPr>
          <w:rFonts w:ascii="Calibri Light"/>
          <w:sz w:val="22"/>
        </w:rPr>
        <w:sectPr>
          <w:footerReference w:type="default" r:id="rId39"/>
          <w:pgSz w:w="12240" w:h="15840"/>
          <w:pgMar w:footer="0" w:header="0" w:top="1400" w:bottom="280" w:left="300" w:right="920"/>
        </w:sectPr>
      </w:pPr>
    </w:p>
    <w:p>
      <w:pPr>
        <w:pStyle w:val="BodyText"/>
        <w:spacing w:before="37"/>
        <w:ind w:left="3049" w:right="2336"/>
        <w:jc w:val="center"/>
        <w:rPr>
          <w:rFonts w:ascii="Calibri Light"/>
          <w:b w:val="0"/>
        </w:rPr>
      </w:pPr>
      <w:r>
        <w:rPr/>
        <w:pict>
          <v:shape style="position:absolute;margin-left:55.080002pt;margin-top:266.759979pt;width:501.85pt;height:36.25pt;mso-position-horizontal-relative:page;mso-position-vertical-relative:page;z-index:-61912" coordorigin="1102,5335" coordsize="10037,725" path="m11138,5335l11138,5335,1102,5335,1102,5551,1102,5844,1102,6060,2210,6060,5371,6060,5950,6060,5950,6058,7210,6058,10565,6058,10565,6060,11138,6060,11138,5698,11138,5335e" filled="true" fillcolor="#e5e5e5" stroked="false">
            <v:path arrowok="t"/>
            <v:fill type="solid"/>
            <w10:wrap type="none"/>
          </v:shape>
        </w:pict>
      </w:r>
      <w:r>
        <w:rPr>
          <w:rFonts w:ascii="Calibri Light"/>
          <w:b w:val="0"/>
        </w:rPr>
        <w:t>37 Hour Advanced Standing Full Time MSW Curriculum</w:t>
      </w:r>
    </w:p>
    <w:p>
      <w:pPr>
        <w:pStyle w:val="BodyText"/>
        <w:spacing w:before="7"/>
        <w:rPr>
          <w:rFonts w:ascii="Calibri Light"/>
          <w:b w:val="0"/>
          <w:sz w:val="22"/>
        </w:rPr>
      </w:pPr>
    </w:p>
    <w:p>
      <w:pPr>
        <w:pStyle w:val="BodyText"/>
        <w:ind w:left="3759" w:right="3139"/>
        <w:jc w:val="center"/>
        <w:rPr>
          <w:rFonts w:ascii="Calibri Light"/>
          <w:b w:val="0"/>
        </w:rPr>
      </w:pPr>
      <w:r>
        <w:rPr>
          <w:rFonts w:ascii="Calibri Light"/>
          <w:b w:val="0"/>
        </w:rPr>
        <w:t>Year 1 Summer Foundation</w:t>
      </w:r>
    </w:p>
    <w:p>
      <w:pPr>
        <w:pStyle w:val="BodyText"/>
        <w:tabs>
          <w:tab w:pos="5189" w:val="left" w:leader="none"/>
          <w:tab w:pos="10656" w:val="left" w:leader="none"/>
        </w:tabs>
        <w:ind w:left="619"/>
        <w:jc w:val="center"/>
        <w:rPr>
          <w:rFonts w:ascii="Calibri Light"/>
          <w:b w:val="0"/>
        </w:rPr>
      </w:pPr>
      <w:r>
        <w:rPr>
          <w:rFonts w:ascii="Times New Roman"/>
          <w:color w:val="FFFFFF"/>
          <w:shd w:fill="44546A" w:color="auto" w:val="clear"/>
        </w:rPr>
        <w:t> </w:t>
        <w:tab/>
      </w:r>
      <w:r>
        <w:rPr>
          <w:rFonts w:ascii="Calibri Light"/>
          <w:b w:val="0"/>
          <w:color w:val="FFFFFF"/>
          <w:spacing w:val="-3"/>
          <w:shd w:fill="44546A" w:color="auto" w:val="clear"/>
        </w:rPr>
        <w:t>SUMMER</w:t>
        <w:tab/>
      </w:r>
    </w:p>
    <w:p>
      <w:pPr>
        <w:pStyle w:val="BodyText"/>
        <w:tabs>
          <w:tab w:pos="1571" w:val="left" w:leader="none"/>
          <w:tab w:pos="4979" w:val="left" w:leader="none"/>
          <w:tab w:pos="5654" w:val="left" w:leader="none"/>
          <w:tab w:pos="6914" w:val="left" w:leader="none"/>
          <w:tab w:pos="10295" w:val="right" w:leader="none"/>
        </w:tabs>
        <w:spacing w:before="86" w:after="4"/>
        <w:ind w:left="604"/>
        <w:jc w:val="center"/>
        <w:rPr>
          <w:rFonts w:ascii="Calibri Light"/>
          <w:b w:val="0"/>
        </w:rPr>
      </w:pPr>
      <w:r>
        <w:rPr>
          <w:rFonts w:ascii="Calibri Light"/>
          <w:b w:val="0"/>
          <w:position w:val="-4"/>
        </w:rPr>
        <w:t>7030</w:t>
        <w:tab/>
      </w:r>
      <w:r>
        <w:rPr>
          <w:rFonts w:ascii="Calibri Light"/>
          <w:b w:val="0"/>
          <w:position w:val="-2"/>
        </w:rPr>
        <w:t>Social</w:t>
      </w:r>
      <w:r>
        <w:rPr>
          <w:rFonts w:ascii="Calibri Light"/>
          <w:b w:val="0"/>
          <w:spacing w:val="-3"/>
          <w:position w:val="-2"/>
        </w:rPr>
        <w:t> </w:t>
      </w:r>
      <w:r>
        <w:rPr>
          <w:rFonts w:ascii="Calibri Light"/>
          <w:b w:val="0"/>
          <w:position w:val="-2"/>
        </w:rPr>
        <w:t>Welfare</w:t>
        <w:tab/>
      </w:r>
      <w:r>
        <w:rPr>
          <w:rFonts w:ascii="Calibri Light"/>
          <w:b w:val="0"/>
        </w:rPr>
        <w:t>3</w:t>
        <w:tab/>
        <w:t>7005</w:t>
        <w:tab/>
        <w:t>Psychopathology</w:t>
        <w:tab/>
        <w:t>3</w:t>
      </w:r>
    </w:p>
    <w:p>
      <w:pPr>
        <w:pStyle w:val="BodyText"/>
        <w:ind w:left="801"/>
        <w:rPr>
          <w:rFonts w:ascii="Calibri Light"/>
          <w:sz w:val="20"/>
        </w:rPr>
      </w:pPr>
      <w:r>
        <w:rPr>
          <w:rFonts w:ascii="Calibri Light"/>
          <w:sz w:val="20"/>
        </w:rPr>
        <w:pict>
          <v:shape style="width:501.75pt;height:21.65pt;mso-position-horizontal-relative:char;mso-position-vertical-relative:line" type="#_x0000_t202" filled="true" fillcolor="#dadada" stroked="false">
            <w10:anchorlock/>
            <v:textbox inset="0,0,0,0">
              <w:txbxContent>
                <w:p>
                  <w:pPr>
                    <w:pStyle w:val="BodyText"/>
                    <w:tabs>
                      <w:tab w:pos="1264" w:val="left" w:leader="none"/>
                      <w:tab w:pos="4662" w:val="right" w:leader="none"/>
                    </w:tabs>
                    <w:spacing w:before="66"/>
                    <w:ind w:left="107"/>
                    <w:rPr>
                      <w:rFonts w:ascii="Calibri Light"/>
                      <w:b w:val="0"/>
                    </w:rPr>
                  </w:pPr>
                  <w:r>
                    <w:rPr>
                      <w:rFonts w:ascii="Calibri Light"/>
                      <w:b w:val="0"/>
                    </w:rPr>
                    <w:t>7050</w:t>
                    <w:tab/>
                    <w:t>Field Placement</w:t>
                    <w:tab/>
                    <w:t>1</w:t>
                  </w:r>
                </w:p>
              </w:txbxContent>
            </v:textbox>
            <v:fill type="solid"/>
          </v:shape>
        </w:pict>
      </w:r>
      <w:r>
        <w:rPr>
          <w:rFonts w:ascii="Calibri Light"/>
          <w:sz w:val="20"/>
        </w:rPr>
      </w:r>
    </w:p>
    <w:p>
      <w:pPr>
        <w:pStyle w:val="BodyText"/>
        <w:rPr>
          <w:rFonts w:ascii="Calibri Light"/>
          <w:b w:val="0"/>
          <w:sz w:val="20"/>
        </w:rPr>
      </w:pPr>
    </w:p>
    <w:p>
      <w:pPr>
        <w:pStyle w:val="BodyText"/>
        <w:rPr>
          <w:rFonts w:ascii="Calibri Light"/>
          <w:b w:val="0"/>
          <w:sz w:val="20"/>
        </w:rPr>
      </w:pPr>
    </w:p>
    <w:p>
      <w:pPr>
        <w:pStyle w:val="BodyText"/>
        <w:spacing w:before="5"/>
        <w:rPr>
          <w:rFonts w:ascii="Calibri Light"/>
          <w:b w:val="0"/>
          <w:sz w:val="10"/>
        </w:rPr>
      </w:pPr>
    </w:p>
    <w:tbl>
      <w:tblPr>
        <w:tblW w:w="0" w:type="auto"/>
        <w:jc w:val="left"/>
        <w:tblInd w:w="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8"/>
        <w:gridCol w:w="3028"/>
        <w:gridCol w:w="724"/>
        <w:gridCol w:w="1357"/>
        <w:gridCol w:w="3306"/>
        <w:gridCol w:w="513"/>
      </w:tblGrid>
      <w:tr>
        <w:trPr>
          <w:trHeight w:val="244" w:hRule="atLeast"/>
        </w:trPr>
        <w:tc>
          <w:tcPr>
            <w:tcW w:w="1108" w:type="dxa"/>
          </w:tcPr>
          <w:p>
            <w:pPr>
              <w:pStyle w:val="TableParagraph"/>
              <w:rPr>
                <w:rFonts w:ascii="Times New Roman"/>
                <w:sz w:val="16"/>
              </w:rPr>
            </w:pPr>
          </w:p>
        </w:tc>
        <w:tc>
          <w:tcPr>
            <w:tcW w:w="5109" w:type="dxa"/>
            <w:gridSpan w:val="3"/>
          </w:tcPr>
          <w:p>
            <w:pPr>
              <w:pStyle w:val="TableParagraph"/>
              <w:spacing w:line="225" w:lineRule="exact"/>
              <w:ind w:left="2832"/>
              <w:rPr>
                <w:b w:val="0"/>
                <w:sz w:val="24"/>
              </w:rPr>
            </w:pPr>
            <w:r>
              <w:rPr>
                <w:b w:val="0"/>
                <w:sz w:val="24"/>
              </w:rPr>
              <w:t>Year 1 Concentration*</w:t>
            </w:r>
          </w:p>
        </w:tc>
        <w:tc>
          <w:tcPr>
            <w:tcW w:w="3819" w:type="dxa"/>
            <w:gridSpan w:val="2"/>
          </w:tcPr>
          <w:p>
            <w:pPr>
              <w:pStyle w:val="TableParagraph"/>
              <w:rPr>
                <w:rFonts w:ascii="Times New Roman"/>
                <w:sz w:val="16"/>
              </w:rPr>
            </w:pPr>
          </w:p>
        </w:tc>
      </w:tr>
      <w:tr>
        <w:trPr>
          <w:trHeight w:val="292" w:hRule="atLeast"/>
        </w:trPr>
        <w:tc>
          <w:tcPr>
            <w:tcW w:w="1108" w:type="dxa"/>
            <w:shd w:val="clear" w:color="auto" w:fill="44546A"/>
          </w:tcPr>
          <w:p>
            <w:pPr>
              <w:pStyle w:val="TableParagraph"/>
              <w:rPr>
                <w:rFonts w:ascii="Times New Roman"/>
                <w:sz w:val="20"/>
              </w:rPr>
            </w:pPr>
          </w:p>
        </w:tc>
        <w:tc>
          <w:tcPr>
            <w:tcW w:w="5109" w:type="dxa"/>
            <w:gridSpan w:val="3"/>
            <w:shd w:val="clear" w:color="auto" w:fill="44546A"/>
          </w:tcPr>
          <w:p>
            <w:pPr>
              <w:pStyle w:val="TableParagraph"/>
              <w:spacing w:line="266" w:lineRule="exact" w:before="4"/>
              <w:ind w:left="1128"/>
              <w:rPr>
                <w:b w:val="0"/>
                <w:sz w:val="24"/>
              </w:rPr>
            </w:pPr>
            <w:r>
              <w:rPr>
                <w:b w:val="0"/>
                <w:color w:val="FFFFFF"/>
                <w:sz w:val="24"/>
              </w:rPr>
              <w:t>FALL</w:t>
            </w:r>
          </w:p>
        </w:tc>
        <w:tc>
          <w:tcPr>
            <w:tcW w:w="3306" w:type="dxa"/>
            <w:shd w:val="clear" w:color="auto" w:fill="44546A"/>
          </w:tcPr>
          <w:p>
            <w:pPr>
              <w:pStyle w:val="TableParagraph"/>
              <w:spacing w:line="266" w:lineRule="exact" w:before="4"/>
              <w:ind w:left="913"/>
              <w:rPr>
                <w:b w:val="0"/>
                <w:sz w:val="24"/>
              </w:rPr>
            </w:pPr>
            <w:r>
              <w:rPr>
                <w:b w:val="0"/>
                <w:color w:val="FFFFFF"/>
                <w:sz w:val="24"/>
              </w:rPr>
              <w:t>SPRING</w:t>
            </w:r>
          </w:p>
        </w:tc>
        <w:tc>
          <w:tcPr>
            <w:tcW w:w="513" w:type="dxa"/>
            <w:shd w:val="clear" w:color="auto" w:fill="44546A"/>
          </w:tcPr>
          <w:p>
            <w:pPr>
              <w:pStyle w:val="TableParagraph"/>
              <w:rPr>
                <w:rFonts w:ascii="Times New Roman"/>
                <w:sz w:val="20"/>
              </w:rPr>
            </w:pPr>
          </w:p>
        </w:tc>
      </w:tr>
      <w:tr>
        <w:trPr>
          <w:trHeight w:val="416" w:hRule="atLeast"/>
        </w:trPr>
        <w:tc>
          <w:tcPr>
            <w:tcW w:w="1108" w:type="dxa"/>
          </w:tcPr>
          <w:p>
            <w:pPr>
              <w:pStyle w:val="TableParagraph"/>
              <w:spacing w:before="69"/>
              <w:ind w:left="184" w:right="136"/>
              <w:jc w:val="center"/>
              <w:rPr>
                <w:b w:val="0"/>
                <w:sz w:val="24"/>
              </w:rPr>
            </w:pPr>
            <w:r>
              <w:rPr>
                <w:b w:val="0"/>
                <w:sz w:val="24"/>
              </w:rPr>
              <w:t>7016</w:t>
            </w:r>
          </w:p>
        </w:tc>
        <w:tc>
          <w:tcPr>
            <w:tcW w:w="5109" w:type="dxa"/>
            <w:gridSpan w:val="3"/>
          </w:tcPr>
          <w:p>
            <w:pPr>
              <w:pStyle w:val="TableParagraph"/>
              <w:tabs>
                <w:tab w:pos="3379" w:val="left" w:leader="none"/>
                <w:tab w:pos="4620" w:val="right" w:leader="none"/>
              </w:tabs>
              <w:spacing w:before="69"/>
              <w:ind w:left="156"/>
              <w:rPr>
                <w:b w:val="0"/>
                <w:sz w:val="24"/>
              </w:rPr>
            </w:pPr>
            <w:r>
              <w:rPr>
                <w:b w:val="0"/>
                <w:sz w:val="24"/>
              </w:rPr>
              <w:t>Adv. Individual</w:t>
            </w:r>
            <w:r>
              <w:rPr>
                <w:b w:val="0"/>
                <w:spacing w:val="-5"/>
                <w:sz w:val="24"/>
              </w:rPr>
              <w:t> </w:t>
            </w:r>
            <w:r>
              <w:rPr>
                <w:b w:val="0"/>
                <w:sz w:val="24"/>
              </w:rPr>
              <w:t>Child/Youth</w:t>
            </w:r>
            <w:r>
              <w:rPr>
                <w:b w:val="0"/>
                <w:spacing w:val="-4"/>
                <w:sz w:val="24"/>
              </w:rPr>
              <w:t> </w:t>
            </w:r>
            <w:r>
              <w:rPr>
                <w:b w:val="0"/>
                <w:sz w:val="24"/>
              </w:rPr>
              <w:t>or</w:t>
              <w:tab/>
              <w:t>3</w:t>
              <w:tab/>
              <w:t>7026</w:t>
            </w:r>
          </w:p>
        </w:tc>
        <w:tc>
          <w:tcPr>
            <w:tcW w:w="3306" w:type="dxa"/>
          </w:tcPr>
          <w:p>
            <w:pPr>
              <w:pStyle w:val="TableParagraph"/>
              <w:spacing w:before="69"/>
              <w:ind w:left="119"/>
              <w:rPr>
                <w:b w:val="0"/>
                <w:sz w:val="24"/>
              </w:rPr>
            </w:pPr>
            <w:r>
              <w:rPr>
                <w:b w:val="0"/>
                <w:sz w:val="24"/>
              </w:rPr>
              <w:t>Evaluative Research</w:t>
            </w:r>
          </w:p>
        </w:tc>
        <w:tc>
          <w:tcPr>
            <w:tcW w:w="513" w:type="dxa"/>
          </w:tcPr>
          <w:p>
            <w:pPr>
              <w:pStyle w:val="TableParagraph"/>
              <w:spacing w:before="69"/>
              <w:ind w:left="137"/>
              <w:rPr>
                <w:b w:val="0"/>
                <w:sz w:val="24"/>
              </w:rPr>
            </w:pPr>
            <w:r>
              <w:rPr>
                <w:b w:val="0"/>
                <w:sz w:val="24"/>
              </w:rPr>
              <w:t>3</w:t>
            </w:r>
          </w:p>
        </w:tc>
      </w:tr>
      <w:tr>
        <w:trPr>
          <w:trHeight w:val="406" w:hRule="atLeast"/>
        </w:trPr>
        <w:tc>
          <w:tcPr>
            <w:tcW w:w="1108" w:type="dxa"/>
          </w:tcPr>
          <w:p>
            <w:pPr>
              <w:pStyle w:val="TableParagraph"/>
              <w:spacing w:before="12"/>
              <w:ind w:left="184" w:right="136"/>
              <w:jc w:val="center"/>
              <w:rPr>
                <w:b w:val="0"/>
                <w:sz w:val="24"/>
              </w:rPr>
            </w:pPr>
            <w:r>
              <w:rPr>
                <w:b w:val="0"/>
                <w:sz w:val="24"/>
              </w:rPr>
              <w:t>7018</w:t>
            </w:r>
          </w:p>
        </w:tc>
        <w:tc>
          <w:tcPr>
            <w:tcW w:w="5109" w:type="dxa"/>
            <w:gridSpan w:val="3"/>
          </w:tcPr>
          <w:p>
            <w:pPr>
              <w:pStyle w:val="TableParagraph"/>
              <w:spacing w:before="12"/>
              <w:ind w:left="156"/>
              <w:rPr>
                <w:b w:val="0"/>
                <w:sz w:val="24"/>
              </w:rPr>
            </w:pPr>
            <w:r>
              <w:rPr>
                <w:b w:val="0"/>
                <w:sz w:val="24"/>
              </w:rPr>
              <w:t>Adv. Individual Adults</w:t>
            </w:r>
          </w:p>
        </w:tc>
        <w:tc>
          <w:tcPr>
            <w:tcW w:w="3306" w:type="dxa"/>
          </w:tcPr>
          <w:p>
            <w:pPr>
              <w:pStyle w:val="TableParagraph"/>
              <w:rPr>
                <w:rFonts w:ascii="Times New Roman"/>
                <w:sz w:val="22"/>
              </w:rPr>
            </w:pPr>
          </w:p>
        </w:tc>
        <w:tc>
          <w:tcPr>
            <w:tcW w:w="513" w:type="dxa"/>
          </w:tcPr>
          <w:p>
            <w:pPr>
              <w:pStyle w:val="TableParagraph"/>
              <w:rPr>
                <w:rFonts w:ascii="Times New Roman"/>
                <w:sz w:val="22"/>
              </w:rPr>
            </w:pPr>
          </w:p>
        </w:tc>
      </w:tr>
      <w:tr>
        <w:trPr>
          <w:trHeight w:val="240" w:hRule="atLeast"/>
        </w:trPr>
        <w:tc>
          <w:tcPr>
            <w:tcW w:w="4860" w:type="dxa"/>
            <w:gridSpan w:val="3"/>
            <w:shd w:val="clear" w:color="auto" w:fill="E5E5E5"/>
          </w:tcPr>
          <w:p>
            <w:pPr>
              <w:pStyle w:val="TableParagraph"/>
              <w:tabs>
                <w:tab w:pos="1245" w:val="left" w:leader="none"/>
                <w:tab w:pos="4609" w:val="right" w:leader="none"/>
              </w:tabs>
              <w:spacing w:line="220" w:lineRule="exact"/>
              <w:ind w:left="319"/>
              <w:rPr>
                <w:b w:val="0"/>
                <w:sz w:val="24"/>
              </w:rPr>
            </w:pPr>
            <w:r>
              <w:rPr>
                <w:b w:val="0"/>
                <w:sz w:val="24"/>
              </w:rPr>
              <w:t>7025</w:t>
              <w:tab/>
              <w:t>Scientific</w:t>
            </w:r>
            <w:r>
              <w:rPr>
                <w:b w:val="0"/>
                <w:spacing w:val="1"/>
                <w:sz w:val="24"/>
              </w:rPr>
              <w:t> </w:t>
            </w:r>
            <w:r>
              <w:rPr>
                <w:b w:val="0"/>
                <w:sz w:val="24"/>
              </w:rPr>
              <w:t>Methods</w:t>
              <w:tab/>
            </w:r>
            <w:r>
              <w:rPr>
                <w:b w:val="0"/>
                <w:position w:val="15"/>
                <w:sz w:val="24"/>
              </w:rPr>
              <w:t>3</w:t>
            </w:r>
          </w:p>
        </w:tc>
        <w:tc>
          <w:tcPr>
            <w:tcW w:w="1357" w:type="dxa"/>
            <w:shd w:val="clear" w:color="auto" w:fill="E5E5E5"/>
          </w:tcPr>
          <w:p>
            <w:pPr>
              <w:pStyle w:val="TableParagraph"/>
              <w:spacing w:line="220" w:lineRule="exact"/>
              <w:ind w:left="231" w:right="339"/>
              <w:jc w:val="center"/>
              <w:rPr>
                <w:b w:val="0"/>
                <w:sz w:val="24"/>
              </w:rPr>
            </w:pPr>
            <w:r>
              <w:rPr>
                <w:b w:val="0"/>
                <w:sz w:val="24"/>
              </w:rPr>
              <w:t>7032</w:t>
            </w:r>
          </w:p>
        </w:tc>
        <w:tc>
          <w:tcPr>
            <w:tcW w:w="3306" w:type="dxa"/>
            <w:shd w:val="clear" w:color="auto" w:fill="E5E5E5"/>
          </w:tcPr>
          <w:p>
            <w:pPr>
              <w:pStyle w:val="TableParagraph"/>
              <w:spacing w:line="220" w:lineRule="exact"/>
              <w:ind w:left="119"/>
              <w:rPr>
                <w:b w:val="0"/>
                <w:sz w:val="24"/>
              </w:rPr>
            </w:pPr>
            <w:r>
              <w:rPr>
                <w:b w:val="0"/>
                <w:sz w:val="24"/>
              </w:rPr>
              <w:t>Adv. Community Child/Youth or</w:t>
            </w:r>
          </w:p>
        </w:tc>
        <w:tc>
          <w:tcPr>
            <w:tcW w:w="513" w:type="dxa"/>
            <w:shd w:val="clear" w:color="auto" w:fill="E5E5E5"/>
          </w:tcPr>
          <w:p>
            <w:pPr>
              <w:pStyle w:val="TableParagraph"/>
              <w:spacing w:line="220" w:lineRule="exact"/>
              <w:ind w:left="137"/>
              <w:rPr>
                <w:b w:val="0"/>
                <w:sz w:val="24"/>
              </w:rPr>
            </w:pPr>
            <w:r>
              <w:rPr>
                <w:b w:val="0"/>
                <w:sz w:val="24"/>
              </w:rPr>
              <w:t>3</w:t>
            </w:r>
          </w:p>
        </w:tc>
      </w:tr>
      <w:tr>
        <w:trPr>
          <w:trHeight w:val="421" w:hRule="atLeast"/>
        </w:trPr>
        <w:tc>
          <w:tcPr>
            <w:tcW w:w="1108" w:type="dxa"/>
            <w:shd w:val="clear" w:color="auto" w:fill="E5E5E5"/>
          </w:tcPr>
          <w:p>
            <w:pPr>
              <w:pStyle w:val="TableParagraph"/>
              <w:rPr>
                <w:rFonts w:ascii="Times New Roman"/>
                <w:sz w:val="22"/>
              </w:rPr>
            </w:pPr>
          </w:p>
        </w:tc>
        <w:tc>
          <w:tcPr>
            <w:tcW w:w="3028" w:type="dxa"/>
            <w:shd w:val="clear" w:color="auto" w:fill="E5E5E5"/>
          </w:tcPr>
          <w:p>
            <w:pPr>
              <w:pStyle w:val="TableParagraph"/>
              <w:rPr>
                <w:rFonts w:ascii="Times New Roman"/>
                <w:sz w:val="22"/>
              </w:rPr>
            </w:pPr>
          </w:p>
        </w:tc>
        <w:tc>
          <w:tcPr>
            <w:tcW w:w="724" w:type="dxa"/>
            <w:shd w:val="clear" w:color="auto" w:fill="E5E5E5"/>
          </w:tcPr>
          <w:p>
            <w:pPr>
              <w:pStyle w:val="TableParagraph"/>
              <w:rPr>
                <w:rFonts w:ascii="Times New Roman"/>
                <w:sz w:val="22"/>
              </w:rPr>
            </w:pPr>
          </w:p>
        </w:tc>
        <w:tc>
          <w:tcPr>
            <w:tcW w:w="1357" w:type="dxa"/>
            <w:shd w:val="clear" w:color="auto" w:fill="E5E5E5"/>
          </w:tcPr>
          <w:p>
            <w:pPr>
              <w:pStyle w:val="TableParagraph"/>
              <w:spacing w:before="71"/>
              <w:ind w:left="231" w:right="339"/>
              <w:jc w:val="center"/>
              <w:rPr>
                <w:b w:val="0"/>
                <w:sz w:val="24"/>
              </w:rPr>
            </w:pPr>
            <w:r>
              <w:rPr>
                <w:b w:val="0"/>
                <w:sz w:val="24"/>
              </w:rPr>
              <w:t>7033</w:t>
            </w:r>
          </w:p>
        </w:tc>
        <w:tc>
          <w:tcPr>
            <w:tcW w:w="3306" w:type="dxa"/>
            <w:shd w:val="clear" w:color="auto" w:fill="E5E5E5"/>
          </w:tcPr>
          <w:p>
            <w:pPr>
              <w:pStyle w:val="TableParagraph"/>
              <w:spacing w:before="71"/>
              <w:ind w:left="119"/>
              <w:rPr>
                <w:b w:val="0"/>
                <w:sz w:val="24"/>
              </w:rPr>
            </w:pPr>
            <w:r>
              <w:rPr>
                <w:b w:val="0"/>
                <w:sz w:val="24"/>
              </w:rPr>
              <w:t>Adv. Community Adults</w:t>
            </w:r>
          </w:p>
        </w:tc>
        <w:tc>
          <w:tcPr>
            <w:tcW w:w="513" w:type="dxa"/>
            <w:shd w:val="clear" w:color="auto" w:fill="E5E5E5"/>
          </w:tcPr>
          <w:p>
            <w:pPr>
              <w:pStyle w:val="TableParagraph"/>
              <w:rPr>
                <w:rFonts w:ascii="Times New Roman"/>
                <w:sz w:val="22"/>
              </w:rPr>
            </w:pPr>
          </w:p>
        </w:tc>
      </w:tr>
      <w:tr>
        <w:trPr>
          <w:trHeight w:val="378" w:hRule="atLeast"/>
        </w:trPr>
        <w:tc>
          <w:tcPr>
            <w:tcW w:w="1108" w:type="dxa"/>
          </w:tcPr>
          <w:p>
            <w:pPr>
              <w:pStyle w:val="TableParagraph"/>
              <w:spacing w:before="12"/>
              <w:ind w:left="184" w:right="137"/>
              <w:jc w:val="center"/>
              <w:rPr>
                <w:b w:val="0"/>
                <w:sz w:val="24"/>
              </w:rPr>
            </w:pPr>
            <w:r>
              <w:rPr>
                <w:b w:val="0"/>
                <w:sz w:val="24"/>
              </w:rPr>
              <w:t>Elective</w:t>
            </w:r>
          </w:p>
        </w:tc>
        <w:tc>
          <w:tcPr>
            <w:tcW w:w="3028" w:type="dxa"/>
          </w:tcPr>
          <w:p>
            <w:pPr>
              <w:pStyle w:val="TableParagraph"/>
              <w:spacing w:before="12"/>
              <w:ind w:left="156"/>
              <w:rPr>
                <w:b w:val="0"/>
                <w:sz w:val="24"/>
              </w:rPr>
            </w:pPr>
            <w:r>
              <w:rPr>
                <w:b w:val="0"/>
                <w:sz w:val="24"/>
              </w:rPr>
              <w:t>Elective</w:t>
            </w:r>
          </w:p>
        </w:tc>
        <w:tc>
          <w:tcPr>
            <w:tcW w:w="724" w:type="dxa"/>
          </w:tcPr>
          <w:p>
            <w:pPr>
              <w:pStyle w:val="TableParagraph"/>
              <w:spacing w:before="12"/>
              <w:ind w:right="248"/>
              <w:jc w:val="right"/>
              <w:rPr>
                <w:b w:val="0"/>
                <w:sz w:val="24"/>
              </w:rPr>
            </w:pPr>
            <w:r>
              <w:rPr>
                <w:b w:val="0"/>
                <w:sz w:val="24"/>
              </w:rPr>
              <w:t>3</w:t>
            </w:r>
          </w:p>
        </w:tc>
        <w:tc>
          <w:tcPr>
            <w:tcW w:w="1357" w:type="dxa"/>
          </w:tcPr>
          <w:p>
            <w:pPr>
              <w:pStyle w:val="TableParagraph"/>
              <w:spacing w:before="12"/>
              <w:ind w:left="231" w:right="339"/>
              <w:jc w:val="center"/>
              <w:rPr>
                <w:b w:val="0"/>
                <w:sz w:val="24"/>
              </w:rPr>
            </w:pPr>
            <w:r>
              <w:rPr>
                <w:b w:val="0"/>
                <w:sz w:val="24"/>
              </w:rPr>
              <w:t>Elective</w:t>
            </w:r>
          </w:p>
        </w:tc>
        <w:tc>
          <w:tcPr>
            <w:tcW w:w="3306" w:type="dxa"/>
          </w:tcPr>
          <w:p>
            <w:pPr>
              <w:pStyle w:val="TableParagraph"/>
              <w:spacing w:before="12"/>
              <w:ind w:left="119"/>
              <w:rPr>
                <w:b w:val="0"/>
                <w:sz w:val="24"/>
              </w:rPr>
            </w:pPr>
            <w:r>
              <w:rPr>
                <w:b w:val="0"/>
                <w:sz w:val="24"/>
              </w:rPr>
              <w:t>Elective</w:t>
            </w:r>
          </w:p>
        </w:tc>
        <w:tc>
          <w:tcPr>
            <w:tcW w:w="513" w:type="dxa"/>
          </w:tcPr>
          <w:p>
            <w:pPr>
              <w:pStyle w:val="TableParagraph"/>
              <w:spacing w:before="12"/>
              <w:ind w:left="137"/>
              <w:rPr>
                <w:b w:val="0"/>
                <w:sz w:val="24"/>
              </w:rPr>
            </w:pPr>
            <w:r>
              <w:rPr>
                <w:b w:val="0"/>
                <w:sz w:val="24"/>
              </w:rPr>
              <w:t>3</w:t>
            </w:r>
          </w:p>
        </w:tc>
      </w:tr>
      <w:tr>
        <w:trPr>
          <w:trHeight w:val="431" w:hRule="atLeast"/>
        </w:trPr>
        <w:tc>
          <w:tcPr>
            <w:tcW w:w="1108" w:type="dxa"/>
            <w:shd w:val="clear" w:color="auto" w:fill="E5E5E5"/>
          </w:tcPr>
          <w:p>
            <w:pPr>
              <w:pStyle w:val="TableParagraph"/>
              <w:spacing w:before="66"/>
              <w:ind w:left="184" w:right="136"/>
              <w:jc w:val="center"/>
              <w:rPr>
                <w:b w:val="0"/>
                <w:sz w:val="24"/>
              </w:rPr>
            </w:pPr>
            <w:r>
              <w:rPr>
                <w:b w:val="0"/>
                <w:sz w:val="24"/>
              </w:rPr>
              <w:t>7053</w:t>
            </w:r>
          </w:p>
        </w:tc>
        <w:tc>
          <w:tcPr>
            <w:tcW w:w="3028" w:type="dxa"/>
            <w:shd w:val="clear" w:color="auto" w:fill="E5E5E5"/>
          </w:tcPr>
          <w:p>
            <w:pPr>
              <w:pStyle w:val="TableParagraph"/>
              <w:spacing w:before="66"/>
              <w:ind w:left="156"/>
              <w:rPr>
                <w:b w:val="0"/>
                <w:sz w:val="24"/>
              </w:rPr>
            </w:pPr>
            <w:r>
              <w:rPr>
                <w:b w:val="0"/>
                <w:sz w:val="24"/>
              </w:rPr>
              <w:t>Field Placement III</w:t>
            </w:r>
          </w:p>
        </w:tc>
        <w:tc>
          <w:tcPr>
            <w:tcW w:w="724" w:type="dxa"/>
            <w:shd w:val="clear" w:color="auto" w:fill="E5E5E5"/>
          </w:tcPr>
          <w:p>
            <w:pPr>
              <w:pStyle w:val="TableParagraph"/>
              <w:spacing w:before="66"/>
              <w:ind w:right="248"/>
              <w:jc w:val="right"/>
              <w:rPr>
                <w:b w:val="0"/>
                <w:sz w:val="24"/>
              </w:rPr>
            </w:pPr>
            <w:r>
              <w:rPr>
                <w:b w:val="0"/>
                <w:sz w:val="24"/>
              </w:rPr>
              <w:t>3</w:t>
            </w:r>
          </w:p>
        </w:tc>
        <w:tc>
          <w:tcPr>
            <w:tcW w:w="1357" w:type="dxa"/>
            <w:shd w:val="clear" w:color="auto" w:fill="E5E5E5"/>
          </w:tcPr>
          <w:p>
            <w:pPr>
              <w:pStyle w:val="TableParagraph"/>
              <w:spacing w:before="66"/>
              <w:ind w:left="231" w:right="339"/>
              <w:jc w:val="center"/>
              <w:rPr>
                <w:b w:val="0"/>
                <w:sz w:val="24"/>
              </w:rPr>
            </w:pPr>
            <w:r>
              <w:rPr>
                <w:b w:val="0"/>
                <w:sz w:val="24"/>
              </w:rPr>
              <w:t>7054</w:t>
            </w:r>
          </w:p>
        </w:tc>
        <w:tc>
          <w:tcPr>
            <w:tcW w:w="3306" w:type="dxa"/>
            <w:shd w:val="clear" w:color="auto" w:fill="E5E5E5"/>
          </w:tcPr>
          <w:p>
            <w:pPr>
              <w:pStyle w:val="TableParagraph"/>
              <w:spacing w:before="66"/>
              <w:ind w:left="119"/>
              <w:rPr>
                <w:b w:val="0"/>
                <w:sz w:val="24"/>
              </w:rPr>
            </w:pPr>
            <w:r>
              <w:rPr>
                <w:b w:val="0"/>
                <w:sz w:val="24"/>
              </w:rPr>
              <w:t>Field Placement IV</w:t>
            </w:r>
          </w:p>
        </w:tc>
        <w:tc>
          <w:tcPr>
            <w:tcW w:w="513" w:type="dxa"/>
            <w:shd w:val="clear" w:color="auto" w:fill="E5E5E5"/>
          </w:tcPr>
          <w:p>
            <w:pPr>
              <w:pStyle w:val="TableParagraph"/>
              <w:spacing w:before="66"/>
              <w:ind w:left="137"/>
              <w:rPr>
                <w:b w:val="0"/>
                <w:sz w:val="24"/>
              </w:rPr>
            </w:pPr>
            <w:r>
              <w:rPr>
                <w:b w:val="0"/>
                <w:sz w:val="24"/>
              </w:rPr>
              <w:t>3</w:t>
            </w:r>
          </w:p>
        </w:tc>
      </w:tr>
      <w:tr>
        <w:trPr>
          <w:trHeight w:val="355" w:hRule="atLeast"/>
        </w:trPr>
        <w:tc>
          <w:tcPr>
            <w:tcW w:w="1108" w:type="dxa"/>
          </w:tcPr>
          <w:p>
            <w:pPr>
              <w:pStyle w:val="TableParagraph"/>
              <w:spacing w:line="269" w:lineRule="exact" w:before="66"/>
              <w:ind w:left="184" w:right="136"/>
              <w:jc w:val="center"/>
              <w:rPr>
                <w:b w:val="0"/>
                <w:sz w:val="24"/>
              </w:rPr>
            </w:pPr>
            <w:r>
              <w:rPr>
                <w:b w:val="0"/>
                <w:sz w:val="24"/>
              </w:rPr>
              <w:t>7055</w:t>
            </w:r>
          </w:p>
        </w:tc>
        <w:tc>
          <w:tcPr>
            <w:tcW w:w="3028" w:type="dxa"/>
          </w:tcPr>
          <w:p>
            <w:pPr>
              <w:pStyle w:val="TableParagraph"/>
              <w:spacing w:line="269" w:lineRule="exact" w:before="66"/>
              <w:ind w:left="156"/>
              <w:rPr>
                <w:b w:val="0"/>
                <w:sz w:val="24"/>
              </w:rPr>
            </w:pPr>
            <w:r>
              <w:rPr>
                <w:b w:val="0"/>
                <w:sz w:val="24"/>
              </w:rPr>
              <w:t>Integrative Field Seminar I</w:t>
            </w:r>
          </w:p>
        </w:tc>
        <w:tc>
          <w:tcPr>
            <w:tcW w:w="724" w:type="dxa"/>
          </w:tcPr>
          <w:p>
            <w:pPr>
              <w:pStyle w:val="TableParagraph"/>
              <w:spacing w:line="269" w:lineRule="exact" w:before="66"/>
              <w:ind w:right="248"/>
              <w:jc w:val="right"/>
              <w:rPr>
                <w:b w:val="0"/>
                <w:sz w:val="24"/>
              </w:rPr>
            </w:pPr>
            <w:r>
              <w:rPr>
                <w:b w:val="0"/>
                <w:sz w:val="24"/>
              </w:rPr>
              <w:t>3</w:t>
            </w:r>
          </w:p>
        </w:tc>
        <w:tc>
          <w:tcPr>
            <w:tcW w:w="1357" w:type="dxa"/>
          </w:tcPr>
          <w:p>
            <w:pPr>
              <w:pStyle w:val="TableParagraph"/>
              <w:spacing w:line="269" w:lineRule="exact" w:before="66"/>
              <w:ind w:left="231" w:right="339"/>
              <w:jc w:val="center"/>
              <w:rPr>
                <w:b w:val="0"/>
                <w:sz w:val="24"/>
              </w:rPr>
            </w:pPr>
            <w:r>
              <w:rPr>
                <w:b w:val="0"/>
                <w:sz w:val="24"/>
              </w:rPr>
              <w:t>7056</w:t>
            </w:r>
          </w:p>
        </w:tc>
        <w:tc>
          <w:tcPr>
            <w:tcW w:w="3306" w:type="dxa"/>
          </w:tcPr>
          <w:p>
            <w:pPr>
              <w:pStyle w:val="TableParagraph"/>
              <w:spacing w:line="269" w:lineRule="exact" w:before="66"/>
              <w:ind w:left="119"/>
              <w:rPr>
                <w:b w:val="0"/>
                <w:sz w:val="24"/>
              </w:rPr>
            </w:pPr>
            <w:r>
              <w:rPr>
                <w:b w:val="0"/>
                <w:sz w:val="24"/>
              </w:rPr>
              <w:t>Integrative Field Seminar II</w:t>
            </w:r>
          </w:p>
        </w:tc>
        <w:tc>
          <w:tcPr>
            <w:tcW w:w="513" w:type="dxa"/>
          </w:tcPr>
          <w:p>
            <w:pPr>
              <w:pStyle w:val="TableParagraph"/>
              <w:spacing w:line="269" w:lineRule="exact" w:before="66"/>
              <w:ind w:left="137"/>
              <w:rPr>
                <w:b w:val="0"/>
                <w:sz w:val="24"/>
              </w:rPr>
            </w:pPr>
            <w:r>
              <w:rPr>
                <w:b w:val="0"/>
                <w:sz w:val="24"/>
              </w:rPr>
              <w:t>3</w:t>
            </w:r>
          </w:p>
        </w:tc>
      </w:tr>
    </w:tbl>
    <w:p>
      <w:pPr>
        <w:pStyle w:val="BodyText"/>
        <w:rPr>
          <w:rFonts w:ascii="Calibri Light"/>
          <w:b w:val="0"/>
          <w:sz w:val="22"/>
        </w:rPr>
      </w:pPr>
    </w:p>
    <w:p>
      <w:pPr>
        <w:pStyle w:val="BodyText"/>
        <w:rPr>
          <w:rFonts w:ascii="Calibri Light"/>
          <w:b w:val="0"/>
          <w:sz w:val="22"/>
        </w:rPr>
      </w:pPr>
    </w:p>
    <w:p>
      <w:pPr>
        <w:pStyle w:val="BodyText"/>
        <w:spacing w:before="12"/>
        <w:rPr>
          <w:rFonts w:ascii="Calibri Light"/>
          <w:b w:val="0"/>
          <w:sz w:val="21"/>
        </w:rPr>
      </w:pPr>
    </w:p>
    <w:p>
      <w:pPr>
        <w:spacing w:before="0"/>
        <w:ind w:left="700" w:right="0" w:firstLine="0"/>
        <w:jc w:val="left"/>
        <w:rPr>
          <w:rFonts w:ascii="Calibri Light"/>
          <w:b w:val="0"/>
          <w:sz w:val="22"/>
        </w:rPr>
      </w:pPr>
      <w:r>
        <w:rPr>
          <w:rFonts w:ascii="Calibri Light"/>
          <w:b w:val="0"/>
          <w:sz w:val="22"/>
        </w:rPr>
        <w:t>*Children, Youth, and Family concentration will take SWRK 7016 and SWRK 7032 for their concentration classes;</w:t>
      </w:r>
    </w:p>
    <w:p>
      <w:pPr>
        <w:spacing w:before="0"/>
        <w:ind w:left="700" w:right="0" w:firstLine="0"/>
        <w:jc w:val="left"/>
        <w:rPr>
          <w:rFonts w:ascii="Calibri Light"/>
          <w:b w:val="0"/>
          <w:sz w:val="22"/>
        </w:rPr>
      </w:pPr>
      <w:r>
        <w:rPr>
          <w:rFonts w:ascii="Calibri Light"/>
          <w:b w:val="0"/>
          <w:sz w:val="22"/>
        </w:rPr>
        <w:t>*Adults and Family concentration will take SWRK 7018 and SWRK 7033 for their concentration classes.</w:t>
      </w:r>
    </w:p>
    <w:p>
      <w:pPr>
        <w:spacing w:after="0"/>
        <w:jc w:val="left"/>
        <w:rPr>
          <w:rFonts w:ascii="Calibri Light"/>
          <w:sz w:val="22"/>
        </w:rPr>
        <w:sectPr>
          <w:footerReference w:type="default" r:id="rId40"/>
          <w:pgSz w:w="12240" w:h="15840"/>
          <w:pgMar w:footer="0" w:header="0" w:top="1400" w:bottom="280" w:left="300" w:right="920"/>
        </w:sectPr>
      </w:pPr>
    </w:p>
    <w:p>
      <w:pPr>
        <w:pStyle w:val="BodyText"/>
        <w:spacing w:before="37"/>
        <w:ind w:left="3302"/>
        <w:rPr>
          <w:rFonts w:ascii="Calibri Light"/>
          <w:b w:val="0"/>
        </w:rPr>
      </w:pPr>
      <w:r>
        <w:rPr>
          <w:rFonts w:ascii="Calibri Light"/>
          <w:b w:val="0"/>
        </w:rPr>
        <w:t>37 Hour Advanced Standing Part Time MSW Curriculum</w:t>
      </w:r>
    </w:p>
    <w:p>
      <w:pPr>
        <w:pStyle w:val="BodyText"/>
        <w:spacing w:before="11"/>
        <w:rPr>
          <w:rFonts w:ascii="Calibri Light"/>
          <w:b w:val="0"/>
          <w:sz w:val="27"/>
        </w:rPr>
      </w:pPr>
    </w:p>
    <w:p>
      <w:pPr>
        <w:pStyle w:val="BodyText"/>
        <w:spacing w:line="289" w:lineRule="exact"/>
        <w:ind w:left="3759" w:right="3139"/>
        <w:jc w:val="center"/>
        <w:rPr>
          <w:rFonts w:ascii="Calibri Light"/>
          <w:b w:val="0"/>
        </w:rPr>
      </w:pPr>
      <w:r>
        <w:rPr>
          <w:rFonts w:ascii="Calibri Light"/>
          <w:b w:val="0"/>
        </w:rPr>
        <w:t>Year 1 Summer Foundation</w:t>
      </w:r>
    </w:p>
    <w:p>
      <w:pPr>
        <w:pStyle w:val="BodyText"/>
        <w:tabs>
          <w:tab w:pos="5189" w:val="left" w:leader="none"/>
          <w:tab w:pos="10656" w:val="left" w:leader="none"/>
        </w:tabs>
        <w:spacing w:line="289" w:lineRule="exact"/>
        <w:ind w:left="619"/>
        <w:jc w:val="center"/>
        <w:rPr>
          <w:rFonts w:ascii="Calibri Light"/>
          <w:b w:val="0"/>
        </w:rPr>
      </w:pPr>
      <w:r>
        <w:rPr/>
        <w:pict>
          <v:shape style="position:absolute;margin-left:55.080002pt;margin-top:21.081556pt;width:503.55pt;height:168.4pt;mso-position-horizontal-relative:page;mso-position-vertical-relative:paragraph;z-index:114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1"/>
                    <w:gridCol w:w="2668"/>
                    <w:gridCol w:w="1443"/>
                    <w:gridCol w:w="1184"/>
                    <w:gridCol w:w="3344"/>
                    <w:gridCol w:w="500"/>
                  </w:tblGrid>
                  <w:tr>
                    <w:trPr>
                      <w:trHeight w:val="299" w:hRule="atLeast"/>
                    </w:trPr>
                    <w:tc>
                      <w:tcPr>
                        <w:tcW w:w="931" w:type="dxa"/>
                      </w:tcPr>
                      <w:p>
                        <w:pPr>
                          <w:pStyle w:val="TableParagraph"/>
                          <w:spacing w:line="244" w:lineRule="exact"/>
                          <w:ind w:left="107"/>
                          <w:rPr>
                            <w:b w:val="0"/>
                            <w:sz w:val="24"/>
                          </w:rPr>
                        </w:pPr>
                        <w:r>
                          <w:rPr>
                            <w:b w:val="0"/>
                            <w:sz w:val="24"/>
                          </w:rPr>
                          <w:t>7030</w:t>
                        </w:r>
                      </w:p>
                    </w:tc>
                    <w:tc>
                      <w:tcPr>
                        <w:tcW w:w="2668" w:type="dxa"/>
                      </w:tcPr>
                      <w:p>
                        <w:pPr>
                          <w:pStyle w:val="TableParagraph"/>
                          <w:spacing w:line="244" w:lineRule="exact"/>
                          <w:ind w:left="333"/>
                          <w:rPr>
                            <w:b w:val="0"/>
                            <w:sz w:val="24"/>
                          </w:rPr>
                        </w:pPr>
                        <w:r>
                          <w:rPr>
                            <w:b w:val="0"/>
                            <w:sz w:val="24"/>
                          </w:rPr>
                          <w:t>Social Welfare Policy</w:t>
                        </w:r>
                      </w:p>
                    </w:tc>
                    <w:tc>
                      <w:tcPr>
                        <w:tcW w:w="1443" w:type="dxa"/>
                      </w:tcPr>
                      <w:p>
                        <w:pPr>
                          <w:pStyle w:val="TableParagraph"/>
                          <w:spacing w:line="244" w:lineRule="exact"/>
                          <w:ind w:right="274"/>
                          <w:jc w:val="right"/>
                          <w:rPr>
                            <w:b w:val="0"/>
                            <w:sz w:val="24"/>
                          </w:rPr>
                        </w:pPr>
                        <w:r>
                          <w:rPr>
                            <w:b w:val="0"/>
                            <w:sz w:val="24"/>
                          </w:rPr>
                          <w:t>3</w:t>
                        </w:r>
                      </w:p>
                    </w:tc>
                    <w:tc>
                      <w:tcPr>
                        <w:tcW w:w="1184" w:type="dxa"/>
                      </w:tcPr>
                      <w:p>
                        <w:pPr>
                          <w:pStyle w:val="TableParagraph"/>
                          <w:spacing w:line="244" w:lineRule="exact"/>
                          <w:ind w:left="276"/>
                          <w:rPr>
                            <w:b w:val="0"/>
                            <w:sz w:val="24"/>
                          </w:rPr>
                        </w:pPr>
                        <w:r>
                          <w:rPr>
                            <w:b w:val="0"/>
                            <w:sz w:val="24"/>
                          </w:rPr>
                          <w:t>7005</w:t>
                        </w:r>
                      </w:p>
                    </w:tc>
                    <w:tc>
                      <w:tcPr>
                        <w:tcW w:w="3344" w:type="dxa"/>
                      </w:tcPr>
                      <w:p>
                        <w:pPr>
                          <w:pStyle w:val="TableParagraph"/>
                          <w:spacing w:line="244" w:lineRule="exact"/>
                          <w:ind w:left="249"/>
                          <w:rPr>
                            <w:b w:val="0"/>
                            <w:sz w:val="24"/>
                          </w:rPr>
                        </w:pPr>
                        <w:r>
                          <w:rPr>
                            <w:b w:val="0"/>
                            <w:sz w:val="24"/>
                          </w:rPr>
                          <w:t>Psychopathology</w:t>
                        </w:r>
                      </w:p>
                    </w:tc>
                    <w:tc>
                      <w:tcPr>
                        <w:tcW w:w="500" w:type="dxa"/>
                      </w:tcPr>
                      <w:p>
                        <w:pPr>
                          <w:pStyle w:val="TableParagraph"/>
                          <w:spacing w:line="244" w:lineRule="exact"/>
                          <w:ind w:left="164"/>
                          <w:rPr>
                            <w:b w:val="0"/>
                            <w:sz w:val="24"/>
                          </w:rPr>
                        </w:pPr>
                        <w:r>
                          <w:rPr>
                            <w:b w:val="0"/>
                            <w:sz w:val="24"/>
                          </w:rPr>
                          <w:t>3</w:t>
                        </w:r>
                      </w:p>
                    </w:tc>
                  </w:tr>
                  <w:tr>
                    <w:trPr>
                      <w:trHeight w:val="386" w:hRule="atLeast"/>
                    </w:trPr>
                    <w:tc>
                      <w:tcPr>
                        <w:tcW w:w="931" w:type="dxa"/>
                        <w:shd w:val="clear" w:color="auto" w:fill="DADADA"/>
                      </w:tcPr>
                      <w:p>
                        <w:pPr>
                          <w:pStyle w:val="TableParagraph"/>
                          <w:spacing w:before="45"/>
                          <w:ind w:left="107"/>
                          <w:rPr>
                            <w:b w:val="0"/>
                            <w:sz w:val="24"/>
                          </w:rPr>
                        </w:pPr>
                        <w:r>
                          <w:rPr>
                            <w:b w:val="0"/>
                            <w:sz w:val="24"/>
                          </w:rPr>
                          <w:t>7050</w:t>
                        </w:r>
                      </w:p>
                    </w:tc>
                    <w:tc>
                      <w:tcPr>
                        <w:tcW w:w="2668" w:type="dxa"/>
                        <w:shd w:val="clear" w:color="auto" w:fill="DADADA"/>
                      </w:tcPr>
                      <w:p>
                        <w:pPr>
                          <w:pStyle w:val="TableParagraph"/>
                          <w:spacing w:before="45"/>
                          <w:ind w:left="333"/>
                          <w:rPr>
                            <w:b w:val="0"/>
                            <w:sz w:val="24"/>
                          </w:rPr>
                        </w:pPr>
                        <w:r>
                          <w:rPr>
                            <w:b w:val="0"/>
                            <w:sz w:val="24"/>
                          </w:rPr>
                          <w:t>Field Placement</w:t>
                        </w:r>
                      </w:p>
                    </w:tc>
                    <w:tc>
                      <w:tcPr>
                        <w:tcW w:w="1443" w:type="dxa"/>
                        <w:shd w:val="clear" w:color="auto" w:fill="DADADA"/>
                      </w:tcPr>
                      <w:p>
                        <w:pPr>
                          <w:pStyle w:val="TableParagraph"/>
                          <w:spacing w:before="45"/>
                          <w:ind w:right="274"/>
                          <w:jc w:val="right"/>
                          <w:rPr>
                            <w:b w:val="0"/>
                            <w:sz w:val="24"/>
                          </w:rPr>
                        </w:pPr>
                        <w:r>
                          <w:rPr>
                            <w:b w:val="0"/>
                            <w:sz w:val="24"/>
                          </w:rPr>
                          <w:t>1</w:t>
                        </w:r>
                      </w:p>
                    </w:tc>
                    <w:tc>
                      <w:tcPr>
                        <w:tcW w:w="1184" w:type="dxa"/>
                        <w:shd w:val="clear" w:color="auto" w:fill="DADADA"/>
                      </w:tcPr>
                      <w:p>
                        <w:pPr>
                          <w:pStyle w:val="TableParagraph"/>
                          <w:rPr>
                            <w:rFonts w:ascii="Times New Roman"/>
                            <w:sz w:val="22"/>
                          </w:rPr>
                        </w:pPr>
                      </w:p>
                    </w:tc>
                    <w:tc>
                      <w:tcPr>
                        <w:tcW w:w="3344" w:type="dxa"/>
                        <w:shd w:val="clear" w:color="auto" w:fill="DADADA"/>
                      </w:tcPr>
                      <w:p>
                        <w:pPr>
                          <w:pStyle w:val="TableParagraph"/>
                          <w:rPr>
                            <w:rFonts w:ascii="Times New Roman"/>
                            <w:sz w:val="22"/>
                          </w:rPr>
                        </w:pPr>
                      </w:p>
                    </w:tc>
                    <w:tc>
                      <w:tcPr>
                        <w:tcW w:w="500" w:type="dxa"/>
                        <w:shd w:val="clear" w:color="auto" w:fill="DADADA"/>
                      </w:tcPr>
                      <w:p>
                        <w:pPr>
                          <w:pStyle w:val="TableParagraph"/>
                          <w:rPr>
                            <w:rFonts w:ascii="Times New Roman"/>
                            <w:sz w:val="22"/>
                          </w:rPr>
                        </w:pPr>
                      </w:p>
                    </w:tc>
                  </w:tr>
                  <w:tr>
                    <w:trPr>
                      <w:trHeight w:val="688" w:hRule="atLeast"/>
                    </w:trPr>
                    <w:tc>
                      <w:tcPr>
                        <w:tcW w:w="931" w:type="dxa"/>
                      </w:tcPr>
                      <w:p>
                        <w:pPr>
                          <w:pStyle w:val="TableParagraph"/>
                          <w:rPr>
                            <w:rFonts w:ascii="Times New Roman"/>
                            <w:sz w:val="22"/>
                          </w:rPr>
                        </w:pPr>
                      </w:p>
                    </w:tc>
                    <w:tc>
                      <w:tcPr>
                        <w:tcW w:w="2668" w:type="dxa"/>
                      </w:tcPr>
                      <w:p>
                        <w:pPr>
                          <w:pStyle w:val="TableParagraph"/>
                          <w:rPr>
                            <w:rFonts w:ascii="Times New Roman"/>
                            <w:sz w:val="22"/>
                          </w:rPr>
                        </w:pPr>
                      </w:p>
                    </w:tc>
                    <w:tc>
                      <w:tcPr>
                        <w:tcW w:w="2627" w:type="dxa"/>
                        <w:gridSpan w:val="2"/>
                      </w:tcPr>
                      <w:p>
                        <w:pPr>
                          <w:pStyle w:val="TableParagraph"/>
                          <w:spacing w:before="7"/>
                          <w:rPr>
                            <w:b w:val="0"/>
                            <w:sz w:val="31"/>
                          </w:rPr>
                        </w:pPr>
                      </w:p>
                      <w:p>
                        <w:pPr>
                          <w:pStyle w:val="TableParagraph"/>
                          <w:spacing w:line="283" w:lineRule="exact"/>
                          <w:ind w:left="341"/>
                          <w:rPr>
                            <w:b w:val="0"/>
                            <w:sz w:val="24"/>
                          </w:rPr>
                        </w:pPr>
                        <w:r>
                          <w:rPr>
                            <w:b w:val="0"/>
                            <w:sz w:val="24"/>
                          </w:rPr>
                          <w:t>Concentration* Year 1</w:t>
                        </w:r>
                      </w:p>
                    </w:tc>
                    <w:tc>
                      <w:tcPr>
                        <w:tcW w:w="3344" w:type="dxa"/>
                      </w:tcPr>
                      <w:p>
                        <w:pPr>
                          <w:pStyle w:val="TableParagraph"/>
                          <w:rPr>
                            <w:rFonts w:ascii="Times New Roman"/>
                            <w:sz w:val="22"/>
                          </w:rPr>
                        </w:pPr>
                      </w:p>
                    </w:tc>
                    <w:tc>
                      <w:tcPr>
                        <w:tcW w:w="500" w:type="dxa"/>
                      </w:tcPr>
                      <w:p>
                        <w:pPr>
                          <w:pStyle w:val="TableParagraph"/>
                          <w:rPr>
                            <w:rFonts w:ascii="Times New Roman"/>
                            <w:sz w:val="22"/>
                          </w:rPr>
                        </w:pPr>
                      </w:p>
                    </w:tc>
                  </w:tr>
                  <w:tr>
                    <w:trPr>
                      <w:trHeight w:val="292" w:hRule="atLeast"/>
                    </w:trPr>
                    <w:tc>
                      <w:tcPr>
                        <w:tcW w:w="931" w:type="dxa"/>
                        <w:shd w:val="clear" w:color="auto" w:fill="44546A"/>
                      </w:tcPr>
                      <w:p>
                        <w:pPr>
                          <w:pStyle w:val="TableParagraph"/>
                          <w:rPr>
                            <w:rFonts w:ascii="Times New Roman"/>
                            <w:sz w:val="20"/>
                          </w:rPr>
                        </w:pPr>
                      </w:p>
                    </w:tc>
                    <w:tc>
                      <w:tcPr>
                        <w:tcW w:w="2668" w:type="dxa"/>
                        <w:shd w:val="clear" w:color="auto" w:fill="44546A"/>
                      </w:tcPr>
                      <w:p>
                        <w:pPr>
                          <w:pStyle w:val="TableParagraph"/>
                          <w:spacing w:line="273" w:lineRule="exact"/>
                          <w:ind w:left="1754"/>
                          <w:rPr>
                            <w:b w:val="0"/>
                            <w:sz w:val="24"/>
                          </w:rPr>
                        </w:pPr>
                        <w:r>
                          <w:rPr>
                            <w:b w:val="0"/>
                            <w:color w:val="FFFFFF"/>
                            <w:sz w:val="24"/>
                          </w:rPr>
                          <w:t>Fall</w:t>
                        </w:r>
                      </w:p>
                    </w:tc>
                    <w:tc>
                      <w:tcPr>
                        <w:tcW w:w="2627" w:type="dxa"/>
                        <w:gridSpan w:val="2"/>
                        <w:shd w:val="clear" w:color="auto" w:fill="44546A"/>
                      </w:tcPr>
                      <w:p>
                        <w:pPr>
                          <w:pStyle w:val="TableParagraph"/>
                          <w:rPr>
                            <w:rFonts w:ascii="Times New Roman"/>
                            <w:sz w:val="20"/>
                          </w:rPr>
                        </w:pPr>
                      </w:p>
                    </w:tc>
                    <w:tc>
                      <w:tcPr>
                        <w:tcW w:w="3344" w:type="dxa"/>
                        <w:shd w:val="clear" w:color="auto" w:fill="44546A"/>
                      </w:tcPr>
                      <w:p>
                        <w:pPr>
                          <w:pStyle w:val="TableParagraph"/>
                          <w:spacing w:line="273" w:lineRule="exact"/>
                          <w:ind w:left="1416" w:right="1281"/>
                          <w:jc w:val="center"/>
                          <w:rPr>
                            <w:b w:val="0"/>
                            <w:sz w:val="24"/>
                          </w:rPr>
                        </w:pPr>
                        <w:r>
                          <w:rPr>
                            <w:b w:val="0"/>
                            <w:color w:val="FFFFFF"/>
                            <w:sz w:val="24"/>
                          </w:rPr>
                          <w:t>Spring</w:t>
                        </w:r>
                      </w:p>
                    </w:tc>
                    <w:tc>
                      <w:tcPr>
                        <w:tcW w:w="500" w:type="dxa"/>
                        <w:shd w:val="clear" w:color="auto" w:fill="44546A"/>
                      </w:tcPr>
                      <w:p>
                        <w:pPr>
                          <w:pStyle w:val="TableParagraph"/>
                          <w:rPr>
                            <w:rFonts w:ascii="Times New Roman"/>
                            <w:sz w:val="20"/>
                          </w:rPr>
                        </w:pPr>
                      </w:p>
                    </w:tc>
                  </w:tr>
                  <w:tr>
                    <w:trPr>
                      <w:trHeight w:val="458" w:hRule="atLeast"/>
                    </w:trPr>
                    <w:tc>
                      <w:tcPr>
                        <w:tcW w:w="931" w:type="dxa"/>
                      </w:tcPr>
                      <w:p>
                        <w:pPr>
                          <w:pStyle w:val="TableParagraph"/>
                          <w:spacing w:before="62"/>
                          <w:ind w:left="107"/>
                          <w:rPr>
                            <w:b w:val="0"/>
                            <w:sz w:val="24"/>
                          </w:rPr>
                        </w:pPr>
                        <w:r>
                          <w:rPr>
                            <w:b w:val="0"/>
                            <w:sz w:val="24"/>
                          </w:rPr>
                          <w:t>7025</w:t>
                        </w:r>
                      </w:p>
                    </w:tc>
                    <w:tc>
                      <w:tcPr>
                        <w:tcW w:w="2668" w:type="dxa"/>
                      </w:tcPr>
                      <w:p>
                        <w:pPr>
                          <w:pStyle w:val="TableParagraph"/>
                          <w:spacing w:before="62"/>
                          <w:ind w:left="336"/>
                          <w:rPr>
                            <w:b w:val="0"/>
                            <w:sz w:val="24"/>
                          </w:rPr>
                        </w:pPr>
                        <w:r>
                          <w:rPr>
                            <w:b w:val="0"/>
                            <w:sz w:val="24"/>
                          </w:rPr>
                          <w:t>Scientific Research</w:t>
                        </w:r>
                      </w:p>
                    </w:tc>
                    <w:tc>
                      <w:tcPr>
                        <w:tcW w:w="2627" w:type="dxa"/>
                        <w:gridSpan w:val="2"/>
                      </w:tcPr>
                      <w:p>
                        <w:pPr>
                          <w:pStyle w:val="TableParagraph"/>
                          <w:tabs>
                            <w:tab w:pos="1733" w:val="left" w:leader="none"/>
                          </w:tabs>
                          <w:spacing w:before="62"/>
                          <w:ind w:left="1061"/>
                          <w:rPr>
                            <w:b w:val="0"/>
                            <w:sz w:val="24"/>
                          </w:rPr>
                        </w:pPr>
                        <w:r>
                          <w:rPr>
                            <w:b w:val="0"/>
                            <w:sz w:val="24"/>
                          </w:rPr>
                          <w:t>3</w:t>
                          <w:tab/>
                          <w:t>7026</w:t>
                        </w:r>
                      </w:p>
                    </w:tc>
                    <w:tc>
                      <w:tcPr>
                        <w:tcW w:w="3344" w:type="dxa"/>
                      </w:tcPr>
                      <w:p>
                        <w:pPr>
                          <w:pStyle w:val="TableParagraph"/>
                          <w:spacing w:before="62"/>
                          <w:ind w:left="129"/>
                          <w:rPr>
                            <w:b w:val="0"/>
                            <w:sz w:val="24"/>
                          </w:rPr>
                        </w:pPr>
                        <w:r>
                          <w:rPr>
                            <w:b w:val="0"/>
                            <w:sz w:val="24"/>
                          </w:rPr>
                          <w:t>Evaluative Research</w:t>
                        </w:r>
                      </w:p>
                    </w:tc>
                    <w:tc>
                      <w:tcPr>
                        <w:tcW w:w="500" w:type="dxa"/>
                      </w:tcPr>
                      <w:p>
                        <w:pPr>
                          <w:pStyle w:val="TableParagraph"/>
                          <w:spacing w:before="62"/>
                          <w:ind w:left="195"/>
                          <w:rPr>
                            <w:b w:val="0"/>
                            <w:sz w:val="24"/>
                          </w:rPr>
                        </w:pPr>
                        <w:r>
                          <w:rPr>
                            <w:b w:val="0"/>
                            <w:sz w:val="24"/>
                          </w:rPr>
                          <w:t>3</w:t>
                        </w:r>
                      </w:p>
                    </w:tc>
                  </w:tr>
                  <w:tr>
                    <w:trPr>
                      <w:trHeight w:val="434" w:hRule="atLeast"/>
                    </w:trPr>
                    <w:tc>
                      <w:tcPr>
                        <w:tcW w:w="931" w:type="dxa"/>
                        <w:shd w:val="clear" w:color="auto" w:fill="DADADA"/>
                      </w:tcPr>
                      <w:p>
                        <w:pPr>
                          <w:pStyle w:val="TableParagraph"/>
                          <w:spacing w:before="45"/>
                          <w:ind w:left="107"/>
                          <w:rPr>
                            <w:b w:val="0"/>
                            <w:sz w:val="24"/>
                          </w:rPr>
                        </w:pPr>
                        <w:r>
                          <w:rPr>
                            <w:b w:val="0"/>
                            <w:sz w:val="24"/>
                          </w:rPr>
                          <w:t>7016</w:t>
                        </w:r>
                      </w:p>
                    </w:tc>
                    <w:tc>
                      <w:tcPr>
                        <w:tcW w:w="5295" w:type="dxa"/>
                        <w:gridSpan w:val="3"/>
                        <w:shd w:val="clear" w:color="auto" w:fill="DADADA"/>
                      </w:tcPr>
                      <w:p>
                        <w:pPr>
                          <w:pStyle w:val="TableParagraph"/>
                          <w:tabs>
                            <w:tab w:pos="3729" w:val="left" w:leader="none"/>
                            <w:tab w:pos="4891" w:val="right" w:leader="none"/>
                          </w:tabs>
                          <w:spacing w:line="206" w:lineRule="auto"/>
                          <w:ind w:left="329"/>
                          <w:rPr>
                            <w:b w:val="0"/>
                            <w:sz w:val="24"/>
                          </w:rPr>
                        </w:pPr>
                        <w:r>
                          <w:rPr>
                            <w:b w:val="0"/>
                            <w:sz w:val="24"/>
                          </w:rPr>
                          <w:t>Adv. Individual</w:t>
                        </w:r>
                        <w:r>
                          <w:rPr>
                            <w:b w:val="0"/>
                            <w:spacing w:val="-5"/>
                            <w:sz w:val="24"/>
                          </w:rPr>
                          <w:t> </w:t>
                        </w:r>
                        <w:r>
                          <w:rPr>
                            <w:b w:val="0"/>
                            <w:sz w:val="24"/>
                          </w:rPr>
                          <w:t>Child/Youth</w:t>
                        </w:r>
                        <w:r>
                          <w:rPr>
                            <w:b w:val="0"/>
                            <w:spacing w:val="-4"/>
                            <w:sz w:val="24"/>
                          </w:rPr>
                          <w:t> </w:t>
                        </w:r>
                        <w:r>
                          <w:rPr>
                            <w:b w:val="0"/>
                            <w:sz w:val="24"/>
                          </w:rPr>
                          <w:t>or</w:t>
                          <w:tab/>
                        </w:r>
                        <w:r>
                          <w:rPr>
                            <w:b w:val="0"/>
                            <w:position w:val="-7"/>
                            <w:sz w:val="24"/>
                          </w:rPr>
                          <w:t>3</w:t>
                          <w:tab/>
                          <w:t>7032</w:t>
                        </w:r>
                      </w:p>
                    </w:tc>
                    <w:tc>
                      <w:tcPr>
                        <w:tcW w:w="3344" w:type="dxa"/>
                        <w:shd w:val="clear" w:color="auto" w:fill="DADADA"/>
                      </w:tcPr>
                      <w:p>
                        <w:pPr>
                          <w:pStyle w:val="TableParagraph"/>
                          <w:spacing w:before="45"/>
                          <w:ind w:left="129"/>
                          <w:rPr>
                            <w:b w:val="0"/>
                            <w:sz w:val="24"/>
                          </w:rPr>
                        </w:pPr>
                        <w:r>
                          <w:rPr>
                            <w:b w:val="0"/>
                            <w:sz w:val="24"/>
                          </w:rPr>
                          <w:t>Adv. Community Child/Youth or</w:t>
                        </w:r>
                      </w:p>
                    </w:tc>
                    <w:tc>
                      <w:tcPr>
                        <w:tcW w:w="500" w:type="dxa"/>
                        <w:shd w:val="clear" w:color="auto" w:fill="DADADA"/>
                      </w:tcPr>
                      <w:p>
                        <w:pPr>
                          <w:pStyle w:val="TableParagraph"/>
                          <w:spacing w:before="45"/>
                          <w:ind w:left="195"/>
                          <w:rPr>
                            <w:b w:val="0"/>
                            <w:sz w:val="24"/>
                          </w:rPr>
                        </w:pPr>
                        <w:r>
                          <w:rPr>
                            <w:b w:val="0"/>
                            <w:sz w:val="24"/>
                          </w:rPr>
                          <w:t>3</w:t>
                        </w:r>
                      </w:p>
                    </w:tc>
                  </w:tr>
                  <w:tr>
                    <w:trPr>
                      <w:trHeight w:val="240" w:hRule="atLeast"/>
                    </w:trPr>
                    <w:tc>
                      <w:tcPr>
                        <w:tcW w:w="931" w:type="dxa"/>
                        <w:shd w:val="clear" w:color="auto" w:fill="DADADA"/>
                      </w:tcPr>
                      <w:p>
                        <w:pPr>
                          <w:pStyle w:val="TableParagraph"/>
                          <w:spacing w:line="204" w:lineRule="exact"/>
                          <w:ind w:left="107"/>
                          <w:rPr>
                            <w:b w:val="0"/>
                            <w:sz w:val="24"/>
                          </w:rPr>
                        </w:pPr>
                        <w:r>
                          <w:rPr>
                            <w:b w:val="0"/>
                            <w:sz w:val="24"/>
                          </w:rPr>
                          <w:t>7018</w:t>
                        </w:r>
                      </w:p>
                    </w:tc>
                    <w:tc>
                      <w:tcPr>
                        <w:tcW w:w="2668" w:type="dxa"/>
                        <w:shd w:val="clear" w:color="auto" w:fill="DADADA"/>
                      </w:tcPr>
                      <w:p>
                        <w:pPr>
                          <w:pStyle w:val="TableParagraph"/>
                          <w:rPr>
                            <w:rFonts w:ascii="Times New Roman"/>
                            <w:sz w:val="16"/>
                          </w:rPr>
                        </w:pPr>
                      </w:p>
                    </w:tc>
                    <w:tc>
                      <w:tcPr>
                        <w:tcW w:w="2627" w:type="dxa"/>
                        <w:gridSpan w:val="2"/>
                        <w:shd w:val="clear" w:color="auto" w:fill="DADADA"/>
                      </w:tcPr>
                      <w:p>
                        <w:pPr>
                          <w:pStyle w:val="TableParagraph"/>
                          <w:spacing w:line="204" w:lineRule="exact"/>
                          <w:ind w:left="1733"/>
                          <w:rPr>
                            <w:b w:val="0"/>
                            <w:sz w:val="24"/>
                          </w:rPr>
                        </w:pPr>
                        <w:r>
                          <w:rPr>
                            <w:b w:val="0"/>
                            <w:sz w:val="24"/>
                          </w:rPr>
                          <w:t>7033</w:t>
                        </w:r>
                      </w:p>
                    </w:tc>
                    <w:tc>
                      <w:tcPr>
                        <w:tcW w:w="3344" w:type="dxa"/>
                        <w:shd w:val="clear" w:color="auto" w:fill="DADADA"/>
                      </w:tcPr>
                      <w:p>
                        <w:pPr>
                          <w:pStyle w:val="TableParagraph"/>
                          <w:spacing w:line="204" w:lineRule="exact"/>
                          <w:ind w:left="129"/>
                          <w:rPr>
                            <w:b w:val="0"/>
                            <w:sz w:val="24"/>
                          </w:rPr>
                        </w:pPr>
                        <w:r>
                          <w:rPr>
                            <w:b w:val="0"/>
                            <w:sz w:val="24"/>
                          </w:rPr>
                          <w:t>Adv. Community Adults</w:t>
                        </w:r>
                      </w:p>
                    </w:tc>
                    <w:tc>
                      <w:tcPr>
                        <w:tcW w:w="500" w:type="dxa"/>
                        <w:shd w:val="clear" w:color="auto" w:fill="DADADA"/>
                      </w:tcPr>
                      <w:p>
                        <w:pPr>
                          <w:pStyle w:val="TableParagraph"/>
                          <w:rPr>
                            <w:rFonts w:ascii="Times New Roman"/>
                            <w:sz w:val="16"/>
                          </w:rPr>
                        </w:pPr>
                      </w:p>
                    </w:tc>
                  </w:tr>
                  <w:tr>
                    <w:trPr>
                      <w:trHeight w:val="566" w:hRule="atLeast"/>
                    </w:trPr>
                    <w:tc>
                      <w:tcPr>
                        <w:tcW w:w="10070" w:type="dxa"/>
                        <w:gridSpan w:val="6"/>
                        <w:shd w:val="clear" w:color="auto" w:fill="44546A"/>
                      </w:tcPr>
                      <w:p>
                        <w:pPr>
                          <w:pStyle w:val="TableParagraph"/>
                          <w:spacing w:before="98"/>
                          <w:ind w:left="4520" w:right="4521"/>
                          <w:jc w:val="center"/>
                          <w:rPr>
                            <w:b w:val="0"/>
                            <w:sz w:val="24"/>
                          </w:rPr>
                        </w:pPr>
                        <w:r>
                          <w:rPr>
                            <w:b w:val="0"/>
                            <w:color w:val="FFFFFF"/>
                            <w:sz w:val="24"/>
                          </w:rPr>
                          <w:t>Summer</w:t>
                        </w:r>
                        <w:r>
                          <w:rPr>
                            <w:b w:val="0"/>
                            <w:color w:val="FFFFFF"/>
                            <w:spacing w:val="-2"/>
                            <w:sz w:val="24"/>
                          </w:rPr>
                          <w:t> </w:t>
                        </w:r>
                        <w:r>
                          <w:rPr>
                            <w:b w:val="0"/>
                            <w:color w:val="FFFFFF"/>
                            <w:sz w:val="24"/>
                          </w:rPr>
                          <w:t>2</w:t>
                        </w:r>
                      </w:p>
                    </w:tc>
                  </w:tr>
                </w:tbl>
                <w:p>
                  <w:pPr>
                    <w:pStyle w:val="BodyText"/>
                  </w:pPr>
                </w:p>
              </w:txbxContent>
            </v:textbox>
            <w10:wrap type="none"/>
          </v:shape>
        </w:pict>
      </w:r>
      <w:r>
        <w:rPr>
          <w:rFonts w:ascii="Times New Roman"/>
          <w:color w:val="FFFFFF"/>
          <w:shd w:fill="44546A" w:color="auto" w:val="clear"/>
        </w:rPr>
        <w:t> </w:t>
        <w:tab/>
      </w:r>
      <w:r>
        <w:rPr>
          <w:rFonts w:ascii="Calibri Light"/>
          <w:b w:val="0"/>
          <w:color w:val="FFFFFF"/>
          <w:spacing w:val="-3"/>
          <w:shd w:fill="44546A" w:color="auto" w:val="clear"/>
        </w:rPr>
        <w:t>Summer</w:t>
        <w:tab/>
      </w:r>
    </w:p>
    <w:p>
      <w:pPr>
        <w:pStyle w:val="BodyText"/>
        <w:rPr>
          <w:rFonts w:ascii="Calibri Light"/>
          <w:b w:val="0"/>
          <w:sz w:val="26"/>
        </w:rPr>
      </w:pPr>
    </w:p>
    <w:p>
      <w:pPr>
        <w:pStyle w:val="BodyText"/>
        <w:rPr>
          <w:rFonts w:ascii="Calibri Light"/>
          <w:b w:val="0"/>
          <w:sz w:val="26"/>
        </w:rPr>
      </w:pPr>
    </w:p>
    <w:p>
      <w:pPr>
        <w:pStyle w:val="BodyText"/>
        <w:rPr>
          <w:rFonts w:ascii="Calibri Light"/>
          <w:b w:val="0"/>
          <w:sz w:val="26"/>
        </w:rPr>
      </w:pPr>
    </w:p>
    <w:p>
      <w:pPr>
        <w:pStyle w:val="BodyText"/>
        <w:rPr>
          <w:rFonts w:ascii="Calibri Light"/>
          <w:b w:val="0"/>
          <w:sz w:val="26"/>
        </w:rPr>
      </w:pPr>
    </w:p>
    <w:p>
      <w:pPr>
        <w:pStyle w:val="BodyText"/>
        <w:rPr>
          <w:rFonts w:ascii="Calibri Light"/>
          <w:b w:val="0"/>
          <w:sz w:val="26"/>
        </w:rPr>
      </w:pPr>
    </w:p>
    <w:p>
      <w:pPr>
        <w:pStyle w:val="BodyText"/>
        <w:rPr>
          <w:rFonts w:ascii="Calibri Light"/>
          <w:b w:val="0"/>
          <w:sz w:val="26"/>
        </w:rPr>
      </w:pPr>
    </w:p>
    <w:p>
      <w:pPr>
        <w:pStyle w:val="BodyText"/>
        <w:rPr>
          <w:rFonts w:ascii="Calibri Light"/>
          <w:b w:val="0"/>
          <w:sz w:val="26"/>
        </w:rPr>
      </w:pPr>
    </w:p>
    <w:p>
      <w:pPr>
        <w:pStyle w:val="BodyText"/>
        <w:spacing w:before="9"/>
        <w:rPr>
          <w:rFonts w:ascii="Calibri Light"/>
          <w:b w:val="0"/>
          <w:sz w:val="26"/>
        </w:rPr>
      </w:pPr>
    </w:p>
    <w:p>
      <w:pPr>
        <w:pStyle w:val="BodyText"/>
        <w:ind w:left="2068"/>
        <w:rPr>
          <w:rFonts w:ascii="Calibri Light"/>
          <w:b w:val="0"/>
        </w:rPr>
      </w:pPr>
      <w:r>
        <w:rPr>
          <w:rFonts w:ascii="Calibri Light"/>
          <w:b w:val="0"/>
        </w:rPr>
        <w:t>Adv. Individual Adults</w:t>
      </w:r>
    </w:p>
    <w:p>
      <w:pPr>
        <w:pStyle w:val="BodyText"/>
        <w:tabs>
          <w:tab w:pos="1706" w:val="left" w:leader="none"/>
          <w:tab w:pos="5085" w:val="left" w:leader="none"/>
          <w:tab w:pos="5759" w:val="left" w:leader="none"/>
          <w:tab w:pos="6919" w:val="left" w:leader="none"/>
          <w:tab w:pos="10295" w:val="right" w:leader="none"/>
        </w:tabs>
        <w:spacing w:before="703"/>
        <w:ind w:left="549"/>
        <w:jc w:val="center"/>
        <w:rPr>
          <w:rFonts w:ascii="Calibri Light"/>
          <w:b w:val="0"/>
        </w:rPr>
      </w:pPr>
      <w:r>
        <w:rPr>
          <w:rFonts w:ascii="Calibri Light"/>
          <w:b w:val="0"/>
        </w:rPr>
        <w:t>Elective</w:t>
        <w:tab/>
        <w:t>Elective</w:t>
        <w:tab/>
        <w:t>3</w:t>
        <w:tab/>
        <w:t>Elective</w:t>
        <w:tab/>
        <w:t>Elective</w:t>
        <w:tab/>
        <w:t>3</w:t>
      </w:r>
    </w:p>
    <w:p>
      <w:pPr>
        <w:pStyle w:val="BodyText"/>
        <w:spacing w:before="11"/>
        <w:rPr>
          <w:rFonts w:ascii="Calibri Light"/>
          <w:b w:val="0"/>
          <w:sz w:val="38"/>
        </w:rPr>
      </w:pPr>
    </w:p>
    <w:p>
      <w:pPr>
        <w:pStyle w:val="BodyText"/>
        <w:spacing w:before="1"/>
        <w:ind w:left="3760" w:right="3139"/>
        <w:jc w:val="center"/>
        <w:rPr>
          <w:rFonts w:ascii="Calibri Light"/>
          <w:b w:val="0"/>
        </w:rPr>
      </w:pPr>
      <w:r>
        <w:rPr>
          <w:rFonts w:ascii="Calibri Light"/>
          <w:b w:val="0"/>
        </w:rPr>
        <w:t>Concentration Year 2</w:t>
      </w:r>
    </w:p>
    <w:p>
      <w:pPr>
        <w:pStyle w:val="BodyText"/>
        <w:tabs>
          <w:tab w:pos="3305" w:val="left" w:leader="none"/>
          <w:tab w:pos="5155" w:val="left" w:leader="none"/>
          <w:tab w:pos="8283" w:val="left" w:leader="none"/>
          <w:tab w:pos="10656" w:val="left" w:leader="none"/>
        </w:tabs>
        <w:spacing w:before="95"/>
        <w:ind w:left="620"/>
        <w:jc w:val="center"/>
        <w:rPr>
          <w:rFonts w:ascii="Calibri Light"/>
          <w:b w:val="0"/>
        </w:rPr>
      </w:pPr>
      <w:r>
        <w:rPr>
          <w:rFonts w:ascii="Times New Roman"/>
          <w:color w:val="FFFFFF"/>
          <w:shd w:fill="44546A" w:color="auto" w:val="clear"/>
        </w:rPr>
        <w:t> </w:t>
        <w:tab/>
      </w:r>
      <w:r>
        <w:rPr>
          <w:rFonts w:ascii="Calibri Light"/>
          <w:b w:val="0"/>
          <w:color w:val="FFFFFF"/>
          <w:spacing w:val="-1"/>
          <w:shd w:fill="44546A" w:color="auto" w:val="clear"/>
        </w:rPr>
        <w:t>Fall</w:t>
        <w:tab/>
        <w:tab/>
      </w:r>
      <w:r>
        <w:rPr>
          <w:rFonts w:ascii="Calibri Light"/>
          <w:b w:val="0"/>
          <w:color w:val="FFFFFF"/>
          <w:position w:val="-6"/>
        </w:rPr>
        <w:drawing>
          <wp:inline distT="0" distB="0" distL="0" distR="0">
            <wp:extent cx="426720" cy="179408"/>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42" cstate="print"/>
                    <a:stretch>
                      <a:fillRect/>
                    </a:stretch>
                  </pic:blipFill>
                  <pic:spPr>
                    <a:xfrm>
                      <a:off x="0" y="0"/>
                      <a:ext cx="426720" cy="179408"/>
                    </a:xfrm>
                    <a:prstGeom prst="rect">
                      <a:avLst/>
                    </a:prstGeom>
                  </pic:spPr>
                </pic:pic>
              </a:graphicData>
            </a:graphic>
          </wp:inline>
        </w:drawing>
      </w:r>
      <w:r>
        <w:rPr>
          <w:rFonts w:ascii="Calibri Light"/>
          <w:b w:val="0"/>
          <w:color w:val="FFFFFF"/>
          <w:position w:val="-6"/>
        </w:rPr>
      </w:r>
      <w:r>
        <w:rPr>
          <w:rFonts w:ascii="Times New Roman"/>
          <w:color w:val="FFFFFF"/>
          <w:shd w:fill="44546A" w:color="auto" w:val="clear"/>
        </w:rPr>
        <w:t> </w:t>
        <w:tab/>
      </w:r>
      <w:r>
        <w:rPr>
          <w:rFonts w:ascii="Calibri Light"/>
          <w:b w:val="0"/>
          <w:color w:val="FFFFFF"/>
          <w:shd w:fill="44546A" w:color="auto" w:val="clear"/>
        </w:rPr>
        <w:t>Spring</w:t>
        <w:tab/>
      </w:r>
    </w:p>
    <w:p>
      <w:pPr>
        <w:pStyle w:val="BodyText"/>
        <w:spacing w:before="10" w:after="1"/>
        <w:rPr>
          <w:rFonts w:ascii="Calibri Light"/>
          <w:b w:val="0"/>
          <w:sz w:val="12"/>
        </w:rPr>
      </w:pPr>
    </w:p>
    <w:tbl>
      <w:tblPr>
        <w:tblW w:w="0" w:type="auto"/>
        <w:jc w:val="left"/>
        <w:tblInd w:w="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1"/>
        <w:gridCol w:w="3023"/>
        <w:gridCol w:w="1087"/>
        <w:gridCol w:w="1099"/>
        <w:gridCol w:w="2993"/>
        <w:gridCol w:w="899"/>
      </w:tblGrid>
      <w:tr>
        <w:trPr>
          <w:trHeight w:val="275" w:hRule="atLeast"/>
        </w:trPr>
        <w:tc>
          <w:tcPr>
            <w:tcW w:w="931" w:type="dxa"/>
          </w:tcPr>
          <w:p>
            <w:pPr>
              <w:pStyle w:val="TableParagraph"/>
              <w:spacing w:line="244" w:lineRule="exact"/>
              <w:ind w:left="107"/>
              <w:rPr>
                <w:b w:val="0"/>
                <w:sz w:val="24"/>
              </w:rPr>
            </w:pPr>
            <w:r>
              <w:rPr>
                <w:b w:val="0"/>
                <w:sz w:val="24"/>
              </w:rPr>
              <w:t>7053</w:t>
            </w:r>
          </w:p>
        </w:tc>
        <w:tc>
          <w:tcPr>
            <w:tcW w:w="3023" w:type="dxa"/>
          </w:tcPr>
          <w:p>
            <w:pPr>
              <w:pStyle w:val="TableParagraph"/>
              <w:spacing w:line="244" w:lineRule="exact"/>
              <w:ind w:left="333"/>
              <w:rPr>
                <w:b w:val="0"/>
                <w:sz w:val="24"/>
              </w:rPr>
            </w:pPr>
            <w:r>
              <w:rPr>
                <w:b w:val="0"/>
                <w:sz w:val="24"/>
              </w:rPr>
              <w:t>Field Placement III</w:t>
            </w:r>
          </w:p>
        </w:tc>
        <w:tc>
          <w:tcPr>
            <w:tcW w:w="1087" w:type="dxa"/>
          </w:tcPr>
          <w:p>
            <w:pPr>
              <w:pStyle w:val="TableParagraph"/>
              <w:spacing w:line="244" w:lineRule="exact"/>
              <w:ind w:right="273"/>
              <w:jc w:val="right"/>
              <w:rPr>
                <w:b w:val="0"/>
                <w:sz w:val="24"/>
              </w:rPr>
            </w:pPr>
            <w:r>
              <w:rPr>
                <w:b w:val="0"/>
                <w:sz w:val="24"/>
              </w:rPr>
              <w:t>3</w:t>
            </w:r>
          </w:p>
        </w:tc>
        <w:tc>
          <w:tcPr>
            <w:tcW w:w="1099" w:type="dxa"/>
          </w:tcPr>
          <w:p>
            <w:pPr>
              <w:pStyle w:val="TableParagraph"/>
              <w:spacing w:line="244" w:lineRule="exact"/>
              <w:ind w:left="277"/>
              <w:rPr>
                <w:b w:val="0"/>
                <w:sz w:val="24"/>
              </w:rPr>
            </w:pPr>
            <w:r>
              <w:rPr>
                <w:b w:val="0"/>
                <w:sz w:val="24"/>
              </w:rPr>
              <w:t>7054</w:t>
            </w:r>
          </w:p>
        </w:tc>
        <w:tc>
          <w:tcPr>
            <w:tcW w:w="2993" w:type="dxa"/>
          </w:tcPr>
          <w:p>
            <w:pPr>
              <w:pStyle w:val="TableParagraph"/>
              <w:spacing w:line="244" w:lineRule="exact"/>
              <w:ind w:left="335"/>
              <w:rPr>
                <w:b w:val="0"/>
                <w:sz w:val="24"/>
              </w:rPr>
            </w:pPr>
            <w:r>
              <w:rPr>
                <w:b w:val="0"/>
                <w:sz w:val="24"/>
              </w:rPr>
              <w:t>Field Placement IV</w:t>
            </w:r>
          </w:p>
        </w:tc>
        <w:tc>
          <w:tcPr>
            <w:tcW w:w="899" w:type="dxa"/>
          </w:tcPr>
          <w:p>
            <w:pPr>
              <w:pStyle w:val="TableParagraph"/>
              <w:spacing w:line="244" w:lineRule="exact"/>
              <w:ind w:right="173"/>
              <w:jc w:val="right"/>
              <w:rPr>
                <w:b w:val="0"/>
                <w:sz w:val="24"/>
              </w:rPr>
            </w:pPr>
            <w:r>
              <w:rPr>
                <w:b w:val="0"/>
                <w:sz w:val="24"/>
              </w:rPr>
              <w:t>3</w:t>
            </w:r>
          </w:p>
        </w:tc>
      </w:tr>
      <w:tr>
        <w:trPr>
          <w:trHeight w:val="386" w:hRule="atLeast"/>
        </w:trPr>
        <w:tc>
          <w:tcPr>
            <w:tcW w:w="931" w:type="dxa"/>
            <w:shd w:val="clear" w:color="auto" w:fill="DADADA"/>
          </w:tcPr>
          <w:p>
            <w:pPr>
              <w:pStyle w:val="TableParagraph"/>
              <w:spacing w:before="45"/>
              <w:ind w:left="107"/>
              <w:rPr>
                <w:b w:val="0"/>
                <w:sz w:val="24"/>
              </w:rPr>
            </w:pPr>
            <w:r>
              <w:rPr>
                <w:b w:val="0"/>
                <w:sz w:val="24"/>
              </w:rPr>
              <w:t>7055</w:t>
            </w:r>
          </w:p>
        </w:tc>
        <w:tc>
          <w:tcPr>
            <w:tcW w:w="3023" w:type="dxa"/>
            <w:shd w:val="clear" w:color="auto" w:fill="DADADA"/>
          </w:tcPr>
          <w:p>
            <w:pPr>
              <w:pStyle w:val="TableParagraph"/>
              <w:spacing w:before="45"/>
              <w:ind w:left="333"/>
              <w:rPr>
                <w:b w:val="0"/>
                <w:sz w:val="24"/>
              </w:rPr>
            </w:pPr>
            <w:r>
              <w:rPr>
                <w:b w:val="0"/>
                <w:sz w:val="24"/>
              </w:rPr>
              <w:t>Integrative Seminar I</w:t>
            </w:r>
          </w:p>
        </w:tc>
        <w:tc>
          <w:tcPr>
            <w:tcW w:w="1087" w:type="dxa"/>
            <w:shd w:val="clear" w:color="auto" w:fill="DADADA"/>
          </w:tcPr>
          <w:p>
            <w:pPr>
              <w:pStyle w:val="TableParagraph"/>
              <w:spacing w:before="45"/>
              <w:ind w:right="273"/>
              <w:jc w:val="right"/>
              <w:rPr>
                <w:b w:val="0"/>
                <w:sz w:val="24"/>
              </w:rPr>
            </w:pPr>
            <w:r>
              <w:rPr>
                <w:b w:val="0"/>
                <w:sz w:val="24"/>
              </w:rPr>
              <w:t>3</w:t>
            </w:r>
          </w:p>
        </w:tc>
        <w:tc>
          <w:tcPr>
            <w:tcW w:w="1099" w:type="dxa"/>
            <w:shd w:val="clear" w:color="auto" w:fill="DADADA"/>
          </w:tcPr>
          <w:p>
            <w:pPr>
              <w:pStyle w:val="TableParagraph"/>
              <w:spacing w:before="45"/>
              <w:ind w:left="277"/>
              <w:rPr>
                <w:b w:val="0"/>
                <w:sz w:val="24"/>
              </w:rPr>
            </w:pPr>
            <w:r>
              <w:rPr>
                <w:b w:val="0"/>
                <w:sz w:val="24"/>
              </w:rPr>
              <w:t>7056</w:t>
            </w:r>
          </w:p>
        </w:tc>
        <w:tc>
          <w:tcPr>
            <w:tcW w:w="2993" w:type="dxa"/>
            <w:shd w:val="clear" w:color="auto" w:fill="DADADA"/>
          </w:tcPr>
          <w:p>
            <w:pPr>
              <w:pStyle w:val="TableParagraph"/>
              <w:spacing w:before="45"/>
              <w:ind w:left="335"/>
              <w:rPr>
                <w:b w:val="0"/>
                <w:sz w:val="24"/>
              </w:rPr>
            </w:pPr>
            <w:r>
              <w:rPr>
                <w:b w:val="0"/>
                <w:sz w:val="24"/>
              </w:rPr>
              <w:t>Integrative Seminar II</w:t>
            </w:r>
          </w:p>
        </w:tc>
        <w:tc>
          <w:tcPr>
            <w:tcW w:w="899" w:type="dxa"/>
            <w:shd w:val="clear" w:color="auto" w:fill="DADADA"/>
          </w:tcPr>
          <w:p>
            <w:pPr>
              <w:pStyle w:val="TableParagraph"/>
              <w:spacing w:before="45"/>
              <w:ind w:right="173"/>
              <w:jc w:val="right"/>
              <w:rPr>
                <w:b w:val="0"/>
                <w:sz w:val="24"/>
              </w:rPr>
            </w:pPr>
            <w:r>
              <w:rPr>
                <w:b w:val="0"/>
                <w:sz w:val="24"/>
              </w:rPr>
              <w:t>3</w:t>
            </w:r>
          </w:p>
        </w:tc>
      </w:tr>
    </w:tbl>
    <w:p>
      <w:pPr>
        <w:pStyle w:val="BodyText"/>
        <w:rPr>
          <w:rFonts w:ascii="Calibri Light"/>
          <w:b w:val="0"/>
          <w:sz w:val="28"/>
        </w:rPr>
      </w:pPr>
    </w:p>
    <w:p>
      <w:pPr>
        <w:pStyle w:val="BodyText"/>
        <w:rPr>
          <w:rFonts w:ascii="Calibri Light"/>
          <w:b w:val="0"/>
          <w:sz w:val="28"/>
        </w:rPr>
      </w:pPr>
    </w:p>
    <w:p>
      <w:pPr>
        <w:pStyle w:val="BodyText"/>
        <w:spacing w:before="9"/>
        <w:rPr>
          <w:rFonts w:ascii="Calibri Light"/>
          <w:b w:val="0"/>
          <w:sz w:val="31"/>
        </w:rPr>
      </w:pPr>
    </w:p>
    <w:p>
      <w:pPr>
        <w:spacing w:before="1"/>
        <w:ind w:left="700" w:right="0" w:firstLine="0"/>
        <w:jc w:val="left"/>
        <w:rPr>
          <w:rFonts w:ascii="Calibri Light"/>
          <w:b w:val="0"/>
          <w:sz w:val="22"/>
        </w:rPr>
      </w:pPr>
      <w:r>
        <w:rPr>
          <w:rFonts w:ascii="Calibri Light"/>
          <w:b w:val="0"/>
          <w:sz w:val="22"/>
        </w:rPr>
        <w:t>*Children, Youth, and Family concentration will take SWRK 7016 and SWRK 7032 for their concentration classes;</w:t>
      </w:r>
    </w:p>
    <w:p>
      <w:pPr>
        <w:spacing w:before="0"/>
        <w:ind w:left="700" w:right="0" w:firstLine="0"/>
        <w:jc w:val="left"/>
        <w:rPr>
          <w:rFonts w:ascii="Calibri Light"/>
          <w:b w:val="0"/>
          <w:sz w:val="22"/>
        </w:rPr>
      </w:pPr>
      <w:r>
        <w:rPr>
          <w:rFonts w:ascii="Calibri Light"/>
          <w:b w:val="0"/>
          <w:sz w:val="22"/>
        </w:rPr>
        <w:t>*Adults and Family concentration will take SWRK 7018 and SWRK 7033 for their concentration classes.</w:t>
      </w:r>
    </w:p>
    <w:p>
      <w:pPr>
        <w:spacing w:after="0"/>
        <w:jc w:val="left"/>
        <w:rPr>
          <w:rFonts w:ascii="Calibri Light"/>
          <w:sz w:val="22"/>
        </w:rPr>
        <w:sectPr>
          <w:footerReference w:type="default" r:id="rId41"/>
          <w:pgSz w:w="12240" w:h="15840"/>
          <w:pgMar w:footer="0" w:header="0" w:top="1400" w:bottom="280" w:left="300" w:right="920"/>
        </w:sectPr>
      </w:pPr>
    </w:p>
    <w:p>
      <w:pPr>
        <w:pStyle w:val="ListParagraph"/>
        <w:numPr>
          <w:ilvl w:val="0"/>
          <w:numId w:val="16"/>
        </w:numPr>
        <w:tabs>
          <w:tab w:pos="3459" w:val="left" w:leader="none"/>
        </w:tabs>
        <w:spacing w:line="240" w:lineRule="auto" w:before="26" w:after="0"/>
        <w:ind w:left="3458" w:right="0" w:hanging="178"/>
        <w:jc w:val="left"/>
        <w:rPr>
          <w:rFonts w:ascii="Calibri Light"/>
          <w:b w:val="0"/>
          <w:sz w:val="24"/>
        </w:rPr>
      </w:pPr>
      <w:r>
        <w:rPr>
          <w:rFonts w:ascii="Calibri Light"/>
          <w:b w:val="0"/>
          <w:spacing w:val="-3"/>
          <w:sz w:val="24"/>
        </w:rPr>
        <w:t>year </w:t>
      </w:r>
      <w:r>
        <w:rPr>
          <w:rFonts w:ascii="Calibri Light"/>
          <w:b w:val="0"/>
          <w:sz w:val="24"/>
        </w:rPr>
        <w:t>plan, Extended Study MSW</w:t>
      </w:r>
      <w:r>
        <w:rPr>
          <w:rFonts w:ascii="Calibri Light"/>
          <w:b w:val="0"/>
          <w:spacing w:val="-4"/>
          <w:sz w:val="24"/>
        </w:rPr>
        <w:t> </w:t>
      </w:r>
      <w:r>
        <w:rPr>
          <w:rFonts w:ascii="Calibri Light"/>
          <w:b w:val="0"/>
          <w:sz w:val="24"/>
        </w:rPr>
        <w:t>Curriculum</w:t>
      </w:r>
    </w:p>
    <w:p>
      <w:pPr>
        <w:pStyle w:val="BodyText"/>
        <w:rPr>
          <w:rFonts w:ascii="Calibri Light"/>
          <w:b w:val="0"/>
          <w:sz w:val="20"/>
        </w:rPr>
      </w:pPr>
    </w:p>
    <w:p>
      <w:pPr>
        <w:pStyle w:val="BodyText"/>
        <w:rPr>
          <w:rFonts w:ascii="Calibri Light"/>
          <w:b w:val="0"/>
          <w:sz w:val="20"/>
        </w:rPr>
      </w:pPr>
    </w:p>
    <w:p>
      <w:pPr>
        <w:pStyle w:val="BodyText"/>
        <w:spacing w:before="4"/>
        <w:rPr>
          <w:rFonts w:ascii="Calibri Light"/>
          <w:b w:val="0"/>
          <w:sz w:val="12"/>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6"/>
        <w:gridCol w:w="3052"/>
        <w:gridCol w:w="745"/>
        <w:gridCol w:w="923"/>
        <w:gridCol w:w="3470"/>
        <w:gridCol w:w="707"/>
      </w:tblGrid>
      <w:tr>
        <w:trPr>
          <w:trHeight w:val="233" w:hRule="atLeast"/>
        </w:trPr>
        <w:tc>
          <w:tcPr>
            <w:tcW w:w="9853" w:type="dxa"/>
            <w:gridSpan w:val="6"/>
          </w:tcPr>
          <w:p>
            <w:pPr>
              <w:pStyle w:val="TableParagraph"/>
              <w:spacing w:line="214" w:lineRule="exact"/>
              <w:ind w:left="4027" w:right="4024"/>
              <w:jc w:val="center"/>
              <w:rPr>
                <w:b w:val="0"/>
                <w:sz w:val="24"/>
              </w:rPr>
            </w:pPr>
            <w:r>
              <w:rPr>
                <w:b w:val="0"/>
                <w:sz w:val="24"/>
              </w:rPr>
              <w:t>Year 1 Foundation</w:t>
            </w:r>
          </w:p>
        </w:tc>
      </w:tr>
      <w:tr>
        <w:trPr>
          <w:trHeight w:val="299" w:hRule="atLeast"/>
        </w:trPr>
        <w:tc>
          <w:tcPr>
            <w:tcW w:w="956" w:type="dxa"/>
            <w:shd w:val="clear" w:color="auto" w:fill="44546A"/>
          </w:tcPr>
          <w:p>
            <w:pPr>
              <w:pStyle w:val="TableParagraph"/>
              <w:rPr>
                <w:rFonts w:ascii="Times New Roman"/>
                <w:sz w:val="22"/>
              </w:rPr>
            </w:pPr>
          </w:p>
        </w:tc>
        <w:tc>
          <w:tcPr>
            <w:tcW w:w="3052" w:type="dxa"/>
            <w:shd w:val="clear" w:color="auto" w:fill="44546A"/>
          </w:tcPr>
          <w:p>
            <w:pPr>
              <w:pStyle w:val="TableParagraph"/>
              <w:spacing w:line="262" w:lineRule="exact" w:before="10"/>
              <w:ind w:left="1168" w:right="1397"/>
              <w:jc w:val="center"/>
              <w:rPr>
                <w:b w:val="0"/>
                <w:sz w:val="24"/>
              </w:rPr>
            </w:pPr>
            <w:r>
              <w:rPr>
                <w:b w:val="0"/>
                <w:color w:val="FFFFFF"/>
                <w:sz w:val="24"/>
              </w:rPr>
              <w:t>FALL</w:t>
            </w:r>
          </w:p>
        </w:tc>
        <w:tc>
          <w:tcPr>
            <w:tcW w:w="745" w:type="dxa"/>
            <w:shd w:val="clear" w:color="auto" w:fill="44546A"/>
          </w:tcPr>
          <w:p>
            <w:pPr>
              <w:pStyle w:val="TableParagraph"/>
              <w:rPr>
                <w:rFonts w:ascii="Times New Roman"/>
                <w:sz w:val="22"/>
              </w:rPr>
            </w:pPr>
          </w:p>
        </w:tc>
        <w:tc>
          <w:tcPr>
            <w:tcW w:w="923" w:type="dxa"/>
            <w:shd w:val="clear" w:color="auto" w:fill="44546A"/>
          </w:tcPr>
          <w:p>
            <w:pPr>
              <w:pStyle w:val="TableParagraph"/>
              <w:rPr>
                <w:rFonts w:ascii="Times New Roman"/>
                <w:sz w:val="22"/>
              </w:rPr>
            </w:pPr>
          </w:p>
        </w:tc>
        <w:tc>
          <w:tcPr>
            <w:tcW w:w="3470" w:type="dxa"/>
            <w:shd w:val="clear" w:color="auto" w:fill="44546A"/>
          </w:tcPr>
          <w:p>
            <w:pPr>
              <w:pStyle w:val="TableParagraph"/>
              <w:spacing w:line="262" w:lineRule="exact" w:before="10"/>
              <w:ind w:left="1243" w:right="1466"/>
              <w:jc w:val="center"/>
              <w:rPr>
                <w:b w:val="0"/>
                <w:sz w:val="24"/>
              </w:rPr>
            </w:pPr>
            <w:r>
              <w:rPr>
                <w:b w:val="0"/>
                <w:color w:val="FFFFFF"/>
                <w:sz w:val="24"/>
              </w:rPr>
              <w:t>SPRING</w:t>
            </w:r>
          </w:p>
        </w:tc>
        <w:tc>
          <w:tcPr>
            <w:tcW w:w="707" w:type="dxa"/>
            <w:shd w:val="clear" w:color="auto" w:fill="44546A"/>
          </w:tcPr>
          <w:p>
            <w:pPr>
              <w:pStyle w:val="TableParagraph"/>
              <w:rPr>
                <w:rFonts w:ascii="Times New Roman"/>
                <w:sz w:val="22"/>
              </w:rPr>
            </w:pPr>
          </w:p>
        </w:tc>
      </w:tr>
      <w:tr>
        <w:trPr>
          <w:trHeight w:val="420" w:hRule="atLeast"/>
        </w:trPr>
        <w:tc>
          <w:tcPr>
            <w:tcW w:w="956" w:type="dxa"/>
          </w:tcPr>
          <w:p>
            <w:pPr>
              <w:pStyle w:val="TableParagraph"/>
              <w:spacing w:before="80"/>
              <w:ind w:left="238" w:right="153"/>
              <w:jc w:val="center"/>
              <w:rPr>
                <w:b w:val="0"/>
                <w:sz w:val="24"/>
              </w:rPr>
            </w:pPr>
            <w:r>
              <w:rPr>
                <w:b w:val="0"/>
                <w:sz w:val="24"/>
              </w:rPr>
              <w:t>7001</w:t>
            </w:r>
          </w:p>
        </w:tc>
        <w:tc>
          <w:tcPr>
            <w:tcW w:w="3052" w:type="dxa"/>
          </w:tcPr>
          <w:p>
            <w:pPr>
              <w:pStyle w:val="TableParagraph"/>
              <w:spacing w:before="80"/>
              <w:ind w:left="191"/>
              <w:rPr>
                <w:b w:val="0"/>
                <w:sz w:val="24"/>
              </w:rPr>
            </w:pPr>
            <w:r>
              <w:rPr>
                <w:b w:val="0"/>
                <w:sz w:val="24"/>
              </w:rPr>
              <w:t>Social Work Practice Skills</w:t>
            </w:r>
          </w:p>
        </w:tc>
        <w:tc>
          <w:tcPr>
            <w:tcW w:w="745" w:type="dxa"/>
          </w:tcPr>
          <w:p>
            <w:pPr>
              <w:pStyle w:val="TableParagraph"/>
              <w:spacing w:before="80"/>
              <w:ind w:right="239"/>
              <w:jc w:val="right"/>
              <w:rPr>
                <w:b w:val="0"/>
                <w:sz w:val="24"/>
              </w:rPr>
            </w:pPr>
            <w:r>
              <w:rPr>
                <w:b w:val="0"/>
                <w:sz w:val="24"/>
              </w:rPr>
              <w:t>3</w:t>
            </w:r>
          </w:p>
        </w:tc>
        <w:tc>
          <w:tcPr>
            <w:tcW w:w="923" w:type="dxa"/>
          </w:tcPr>
          <w:p>
            <w:pPr>
              <w:pStyle w:val="TableParagraph"/>
              <w:spacing w:before="80"/>
              <w:ind w:left="225" w:right="171"/>
              <w:jc w:val="center"/>
              <w:rPr>
                <w:b w:val="0"/>
                <w:sz w:val="24"/>
              </w:rPr>
            </w:pPr>
            <w:r>
              <w:rPr>
                <w:b w:val="0"/>
                <w:sz w:val="24"/>
              </w:rPr>
              <w:t>7002</w:t>
            </w:r>
          </w:p>
        </w:tc>
        <w:tc>
          <w:tcPr>
            <w:tcW w:w="3470" w:type="dxa"/>
          </w:tcPr>
          <w:p>
            <w:pPr>
              <w:pStyle w:val="TableParagraph"/>
              <w:spacing w:before="80"/>
              <w:ind w:left="191"/>
              <w:rPr>
                <w:b w:val="0"/>
                <w:sz w:val="24"/>
              </w:rPr>
            </w:pPr>
            <w:r>
              <w:rPr>
                <w:b w:val="0"/>
                <w:sz w:val="24"/>
              </w:rPr>
              <w:t>Individuals and Families</w:t>
            </w:r>
          </w:p>
        </w:tc>
        <w:tc>
          <w:tcPr>
            <w:tcW w:w="707" w:type="dxa"/>
          </w:tcPr>
          <w:p>
            <w:pPr>
              <w:pStyle w:val="TableParagraph"/>
              <w:spacing w:before="80"/>
              <w:ind w:left="206"/>
              <w:rPr>
                <w:b w:val="0"/>
                <w:sz w:val="24"/>
              </w:rPr>
            </w:pPr>
            <w:r>
              <w:rPr>
                <w:b w:val="0"/>
                <w:sz w:val="24"/>
              </w:rPr>
              <w:t>3</w:t>
            </w:r>
          </w:p>
        </w:tc>
      </w:tr>
      <w:tr>
        <w:trPr>
          <w:trHeight w:val="431" w:hRule="atLeast"/>
        </w:trPr>
        <w:tc>
          <w:tcPr>
            <w:tcW w:w="956" w:type="dxa"/>
            <w:shd w:val="clear" w:color="auto" w:fill="E5E5E5"/>
          </w:tcPr>
          <w:p>
            <w:pPr>
              <w:pStyle w:val="TableParagraph"/>
              <w:spacing w:before="69"/>
              <w:ind w:left="238" w:right="153"/>
              <w:jc w:val="center"/>
              <w:rPr>
                <w:b w:val="0"/>
                <w:sz w:val="24"/>
              </w:rPr>
            </w:pPr>
            <w:r>
              <w:rPr>
                <w:b w:val="0"/>
                <w:sz w:val="24"/>
              </w:rPr>
              <w:t>7021</w:t>
            </w:r>
          </w:p>
        </w:tc>
        <w:tc>
          <w:tcPr>
            <w:tcW w:w="3052" w:type="dxa"/>
            <w:shd w:val="clear" w:color="auto" w:fill="E5E5E5"/>
          </w:tcPr>
          <w:p>
            <w:pPr>
              <w:pStyle w:val="TableParagraph"/>
              <w:spacing w:before="69"/>
              <w:ind w:left="191"/>
              <w:rPr>
                <w:b w:val="0"/>
                <w:sz w:val="24"/>
              </w:rPr>
            </w:pPr>
            <w:r>
              <w:rPr>
                <w:b w:val="0"/>
                <w:sz w:val="24"/>
              </w:rPr>
              <w:t>SW Across the Lifespan</w:t>
            </w:r>
          </w:p>
        </w:tc>
        <w:tc>
          <w:tcPr>
            <w:tcW w:w="745" w:type="dxa"/>
            <w:shd w:val="clear" w:color="auto" w:fill="E5E5E5"/>
          </w:tcPr>
          <w:p>
            <w:pPr>
              <w:pStyle w:val="TableParagraph"/>
              <w:spacing w:before="69"/>
              <w:ind w:right="239"/>
              <w:jc w:val="right"/>
              <w:rPr>
                <w:b w:val="0"/>
                <w:sz w:val="24"/>
              </w:rPr>
            </w:pPr>
            <w:r>
              <w:rPr>
                <w:b w:val="0"/>
                <w:sz w:val="24"/>
              </w:rPr>
              <w:t>3</w:t>
            </w:r>
          </w:p>
        </w:tc>
        <w:tc>
          <w:tcPr>
            <w:tcW w:w="923" w:type="dxa"/>
            <w:shd w:val="clear" w:color="auto" w:fill="E5E5E5"/>
          </w:tcPr>
          <w:p>
            <w:pPr>
              <w:pStyle w:val="TableParagraph"/>
              <w:spacing w:before="69"/>
              <w:ind w:left="225" w:right="171"/>
              <w:jc w:val="center"/>
              <w:rPr>
                <w:b w:val="0"/>
                <w:sz w:val="24"/>
              </w:rPr>
            </w:pPr>
            <w:r>
              <w:rPr>
                <w:b w:val="0"/>
                <w:sz w:val="24"/>
              </w:rPr>
              <w:t>7005</w:t>
            </w:r>
          </w:p>
        </w:tc>
        <w:tc>
          <w:tcPr>
            <w:tcW w:w="3470" w:type="dxa"/>
            <w:shd w:val="clear" w:color="auto" w:fill="E5E5E5"/>
          </w:tcPr>
          <w:p>
            <w:pPr>
              <w:pStyle w:val="TableParagraph"/>
              <w:spacing w:before="69"/>
              <w:ind w:left="191"/>
              <w:rPr>
                <w:b w:val="0"/>
                <w:sz w:val="24"/>
              </w:rPr>
            </w:pPr>
            <w:r>
              <w:rPr>
                <w:b w:val="0"/>
                <w:sz w:val="24"/>
              </w:rPr>
              <w:t>Psychopathology</w:t>
            </w:r>
          </w:p>
        </w:tc>
        <w:tc>
          <w:tcPr>
            <w:tcW w:w="707" w:type="dxa"/>
            <w:shd w:val="clear" w:color="auto" w:fill="E5E5E5"/>
          </w:tcPr>
          <w:p>
            <w:pPr>
              <w:pStyle w:val="TableParagraph"/>
              <w:spacing w:before="69"/>
              <w:ind w:left="206"/>
              <w:rPr>
                <w:b w:val="0"/>
                <w:sz w:val="24"/>
              </w:rPr>
            </w:pPr>
            <w:r>
              <w:rPr>
                <w:b w:val="0"/>
                <w:sz w:val="24"/>
              </w:rPr>
              <w:t>3</w:t>
            </w:r>
          </w:p>
        </w:tc>
      </w:tr>
      <w:tr>
        <w:trPr>
          <w:trHeight w:val="547" w:hRule="atLeast"/>
        </w:trPr>
        <w:tc>
          <w:tcPr>
            <w:tcW w:w="9853" w:type="dxa"/>
            <w:gridSpan w:val="6"/>
          </w:tcPr>
          <w:p>
            <w:pPr>
              <w:pStyle w:val="TableParagraph"/>
              <w:tabs>
                <w:tab w:pos="4478" w:val="left" w:leader="none"/>
                <w:tab w:pos="9854" w:val="left" w:leader="none"/>
              </w:tabs>
              <w:spacing w:before="194"/>
              <w:ind w:left="-1" w:right="-15"/>
              <w:rPr>
                <w:b w:val="0"/>
                <w:sz w:val="24"/>
              </w:rPr>
            </w:pPr>
            <w:r>
              <w:rPr>
                <w:rFonts w:ascii="Times New Roman"/>
                <w:color w:val="FFFFFF"/>
                <w:sz w:val="24"/>
                <w:shd w:fill="44546A" w:color="auto" w:val="clear"/>
              </w:rPr>
              <w:t> </w:t>
              <w:tab/>
            </w:r>
            <w:r>
              <w:rPr>
                <w:b w:val="0"/>
                <w:color w:val="FFFFFF"/>
                <w:spacing w:val="-3"/>
                <w:sz w:val="24"/>
                <w:shd w:fill="44546A" w:color="auto" w:val="clear"/>
              </w:rPr>
              <w:t>SUMMER</w:t>
              <w:tab/>
            </w:r>
          </w:p>
        </w:tc>
      </w:tr>
      <w:tr>
        <w:trPr>
          <w:trHeight w:val="304" w:hRule="atLeast"/>
        </w:trPr>
        <w:tc>
          <w:tcPr>
            <w:tcW w:w="956" w:type="dxa"/>
          </w:tcPr>
          <w:p>
            <w:pPr>
              <w:pStyle w:val="TableParagraph"/>
              <w:spacing w:line="269" w:lineRule="exact" w:before="16"/>
              <w:ind w:left="238" w:right="153"/>
              <w:jc w:val="center"/>
              <w:rPr>
                <w:b w:val="0"/>
                <w:sz w:val="24"/>
              </w:rPr>
            </w:pPr>
            <w:r>
              <w:rPr>
                <w:b w:val="0"/>
                <w:sz w:val="24"/>
              </w:rPr>
              <w:t>7003</w:t>
            </w:r>
          </w:p>
        </w:tc>
        <w:tc>
          <w:tcPr>
            <w:tcW w:w="3052" w:type="dxa"/>
          </w:tcPr>
          <w:p>
            <w:pPr>
              <w:pStyle w:val="TableParagraph"/>
              <w:spacing w:line="269" w:lineRule="exact" w:before="16"/>
              <w:ind w:left="191"/>
              <w:rPr>
                <w:b w:val="0"/>
                <w:sz w:val="24"/>
              </w:rPr>
            </w:pPr>
            <w:r>
              <w:rPr>
                <w:b w:val="0"/>
                <w:sz w:val="24"/>
              </w:rPr>
              <w:t>Groups</w:t>
            </w:r>
          </w:p>
        </w:tc>
        <w:tc>
          <w:tcPr>
            <w:tcW w:w="745" w:type="dxa"/>
          </w:tcPr>
          <w:p>
            <w:pPr>
              <w:pStyle w:val="TableParagraph"/>
              <w:spacing w:line="269" w:lineRule="exact" w:before="16"/>
              <w:ind w:right="239"/>
              <w:jc w:val="right"/>
              <w:rPr>
                <w:b w:val="0"/>
                <w:sz w:val="24"/>
              </w:rPr>
            </w:pPr>
            <w:r>
              <w:rPr>
                <w:b w:val="0"/>
                <w:sz w:val="24"/>
              </w:rPr>
              <w:t>3</w:t>
            </w:r>
          </w:p>
        </w:tc>
        <w:tc>
          <w:tcPr>
            <w:tcW w:w="923" w:type="dxa"/>
          </w:tcPr>
          <w:p>
            <w:pPr>
              <w:pStyle w:val="TableParagraph"/>
              <w:spacing w:line="269" w:lineRule="exact" w:before="16"/>
              <w:ind w:left="225" w:right="171"/>
              <w:jc w:val="center"/>
              <w:rPr>
                <w:b w:val="0"/>
                <w:sz w:val="24"/>
              </w:rPr>
            </w:pPr>
            <w:r>
              <w:rPr>
                <w:b w:val="0"/>
                <w:sz w:val="24"/>
              </w:rPr>
              <w:t>7022</w:t>
            </w:r>
          </w:p>
        </w:tc>
        <w:tc>
          <w:tcPr>
            <w:tcW w:w="3470" w:type="dxa"/>
          </w:tcPr>
          <w:p>
            <w:pPr>
              <w:pStyle w:val="TableParagraph"/>
              <w:spacing w:line="269" w:lineRule="exact" w:before="16"/>
              <w:ind w:left="191"/>
              <w:rPr>
                <w:b w:val="0"/>
                <w:sz w:val="24"/>
              </w:rPr>
            </w:pPr>
            <w:r>
              <w:rPr>
                <w:b w:val="0"/>
                <w:sz w:val="24"/>
              </w:rPr>
              <w:t>Communities and Organizations</w:t>
            </w:r>
          </w:p>
        </w:tc>
        <w:tc>
          <w:tcPr>
            <w:tcW w:w="707" w:type="dxa"/>
          </w:tcPr>
          <w:p>
            <w:pPr>
              <w:pStyle w:val="TableParagraph"/>
              <w:spacing w:line="269" w:lineRule="exact" w:before="16"/>
              <w:ind w:left="206"/>
              <w:rPr>
                <w:b w:val="0"/>
                <w:sz w:val="24"/>
              </w:rPr>
            </w:pPr>
            <w:r>
              <w:rPr>
                <w:b w:val="0"/>
                <w:sz w:val="24"/>
              </w:rPr>
              <w:t>3</w:t>
            </w:r>
          </w:p>
        </w:tc>
      </w:tr>
    </w:tbl>
    <w:p>
      <w:pPr>
        <w:pStyle w:val="BodyText"/>
        <w:rPr>
          <w:rFonts w:ascii="Calibri Light"/>
          <w:b w:val="0"/>
          <w:sz w:val="26"/>
        </w:rPr>
      </w:pPr>
    </w:p>
    <w:p>
      <w:pPr>
        <w:pStyle w:val="BodyText"/>
        <w:spacing w:before="51"/>
        <w:ind w:left="4144"/>
        <w:rPr>
          <w:rFonts w:ascii="Calibri Light"/>
          <w:b w:val="0"/>
        </w:rPr>
      </w:pPr>
      <w:r>
        <w:rPr>
          <w:rFonts w:ascii="Calibri Light"/>
          <w:b w:val="0"/>
        </w:rPr>
        <w:t>Year 2 Foundation/Concentration*</w:t>
      </w:r>
    </w:p>
    <w:p>
      <w:pPr>
        <w:pStyle w:val="BodyText"/>
        <w:ind w:left="899"/>
        <w:rPr>
          <w:rFonts w:ascii="Calibri Light"/>
          <w:sz w:val="20"/>
        </w:rPr>
      </w:pPr>
      <w:r>
        <w:rPr>
          <w:rFonts w:ascii="Calibri Light"/>
          <w:sz w:val="20"/>
        </w:rPr>
        <w:pict>
          <v:shape style="width:492.75pt;height:14.7pt;mso-position-horizontal-relative:char;mso-position-vertical-relative:line" type="#_x0000_t202" filled="true" fillcolor="#44546a" stroked="false">
            <w10:anchorlock/>
            <v:textbox inset="0,0,0,0">
              <w:txbxContent>
                <w:p>
                  <w:pPr>
                    <w:pStyle w:val="BodyText"/>
                    <w:tabs>
                      <w:tab w:pos="6939" w:val="left" w:leader="none"/>
                    </w:tabs>
                    <w:spacing w:line="291" w:lineRule="exact" w:before="3"/>
                    <w:ind w:left="2146"/>
                    <w:rPr>
                      <w:rFonts w:ascii="Calibri Light"/>
                      <w:b w:val="0"/>
                    </w:rPr>
                  </w:pPr>
                  <w:r>
                    <w:rPr>
                      <w:rFonts w:ascii="Calibri Light"/>
                      <w:b w:val="0"/>
                      <w:color w:val="FFFFFF"/>
                    </w:rPr>
                    <w:t>FALL</w:t>
                    <w:tab/>
                  </w:r>
                  <w:r>
                    <w:rPr>
                      <w:rFonts w:ascii="Calibri Light"/>
                      <w:b w:val="0"/>
                      <w:color w:val="FFFFFF"/>
                      <w:spacing w:val="-3"/>
                    </w:rPr>
                    <w:t>SPRING</w:t>
                  </w:r>
                </w:p>
              </w:txbxContent>
            </v:textbox>
            <v:fill type="solid"/>
          </v:shape>
        </w:pict>
      </w:r>
      <w:r>
        <w:rPr>
          <w:rFonts w:ascii="Calibri Light"/>
          <w:sz w:val="20"/>
        </w:rPr>
      </w:r>
    </w:p>
    <w:p>
      <w:pPr>
        <w:pStyle w:val="BodyText"/>
        <w:spacing w:before="3"/>
        <w:rPr>
          <w:rFonts w:ascii="Calibri Light"/>
          <w:b w:val="0"/>
          <w:sz w:val="7"/>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0"/>
        <w:gridCol w:w="2744"/>
        <w:gridCol w:w="924"/>
        <w:gridCol w:w="1053"/>
        <w:gridCol w:w="2723"/>
        <w:gridCol w:w="1389"/>
      </w:tblGrid>
      <w:tr>
        <w:trPr>
          <w:trHeight w:val="360" w:hRule="atLeast"/>
        </w:trPr>
        <w:tc>
          <w:tcPr>
            <w:tcW w:w="1020" w:type="dxa"/>
          </w:tcPr>
          <w:p>
            <w:pPr>
              <w:pStyle w:val="TableParagraph"/>
              <w:spacing w:line="244" w:lineRule="exact"/>
              <w:ind w:left="126" w:right="105"/>
              <w:jc w:val="center"/>
              <w:rPr>
                <w:b w:val="0"/>
                <w:sz w:val="24"/>
              </w:rPr>
            </w:pPr>
            <w:r>
              <w:rPr>
                <w:b w:val="0"/>
                <w:sz w:val="24"/>
              </w:rPr>
              <w:t>7030</w:t>
            </w:r>
          </w:p>
        </w:tc>
        <w:tc>
          <w:tcPr>
            <w:tcW w:w="2744" w:type="dxa"/>
          </w:tcPr>
          <w:p>
            <w:pPr>
              <w:pStyle w:val="TableParagraph"/>
              <w:spacing w:line="244" w:lineRule="exact"/>
              <w:ind w:left="127"/>
              <w:rPr>
                <w:b w:val="0"/>
                <w:sz w:val="24"/>
              </w:rPr>
            </w:pPr>
            <w:r>
              <w:rPr>
                <w:b w:val="0"/>
                <w:sz w:val="24"/>
              </w:rPr>
              <w:t>Social Welfare Policy</w:t>
            </w:r>
          </w:p>
        </w:tc>
        <w:tc>
          <w:tcPr>
            <w:tcW w:w="924" w:type="dxa"/>
          </w:tcPr>
          <w:p>
            <w:pPr>
              <w:pStyle w:val="TableParagraph"/>
              <w:spacing w:line="244" w:lineRule="exact"/>
              <w:ind w:right="174"/>
              <w:jc w:val="right"/>
              <w:rPr>
                <w:b w:val="0"/>
                <w:sz w:val="24"/>
              </w:rPr>
            </w:pPr>
            <w:r>
              <w:rPr>
                <w:b w:val="0"/>
                <w:sz w:val="24"/>
              </w:rPr>
              <w:t>3</w:t>
            </w:r>
          </w:p>
        </w:tc>
        <w:tc>
          <w:tcPr>
            <w:tcW w:w="1053" w:type="dxa"/>
          </w:tcPr>
          <w:p>
            <w:pPr>
              <w:pStyle w:val="TableParagraph"/>
              <w:spacing w:line="244" w:lineRule="exact"/>
              <w:ind w:left="156" w:right="104"/>
              <w:jc w:val="center"/>
              <w:rPr>
                <w:b w:val="0"/>
                <w:sz w:val="24"/>
              </w:rPr>
            </w:pPr>
            <w:r>
              <w:rPr>
                <w:b w:val="0"/>
                <w:sz w:val="24"/>
              </w:rPr>
              <w:t>Elective</w:t>
            </w:r>
          </w:p>
        </w:tc>
        <w:tc>
          <w:tcPr>
            <w:tcW w:w="2723" w:type="dxa"/>
          </w:tcPr>
          <w:p>
            <w:pPr>
              <w:pStyle w:val="TableParagraph"/>
              <w:spacing w:line="244" w:lineRule="exact"/>
              <w:ind w:left="127"/>
              <w:rPr>
                <w:b w:val="0"/>
                <w:sz w:val="24"/>
              </w:rPr>
            </w:pPr>
            <w:r>
              <w:rPr>
                <w:b w:val="0"/>
                <w:sz w:val="24"/>
              </w:rPr>
              <w:t>Elective</w:t>
            </w:r>
          </w:p>
        </w:tc>
        <w:tc>
          <w:tcPr>
            <w:tcW w:w="1389" w:type="dxa"/>
          </w:tcPr>
          <w:p>
            <w:pPr>
              <w:pStyle w:val="TableParagraph"/>
              <w:spacing w:line="244" w:lineRule="exact"/>
              <w:ind w:right="371"/>
              <w:jc w:val="right"/>
              <w:rPr>
                <w:b w:val="0"/>
                <w:sz w:val="24"/>
              </w:rPr>
            </w:pPr>
            <w:r>
              <w:rPr>
                <w:b w:val="0"/>
                <w:sz w:val="24"/>
              </w:rPr>
              <w:t>3</w:t>
            </w:r>
          </w:p>
        </w:tc>
      </w:tr>
      <w:tr>
        <w:trPr>
          <w:trHeight w:val="431" w:hRule="atLeast"/>
        </w:trPr>
        <w:tc>
          <w:tcPr>
            <w:tcW w:w="1020" w:type="dxa"/>
            <w:shd w:val="clear" w:color="auto" w:fill="E5E5E5"/>
          </w:tcPr>
          <w:p>
            <w:pPr>
              <w:pStyle w:val="TableParagraph"/>
              <w:spacing w:before="66"/>
              <w:ind w:left="126" w:right="105"/>
              <w:jc w:val="center"/>
              <w:rPr>
                <w:b w:val="0"/>
                <w:sz w:val="24"/>
              </w:rPr>
            </w:pPr>
            <w:r>
              <w:rPr>
                <w:b w:val="0"/>
                <w:sz w:val="24"/>
              </w:rPr>
              <w:t>7051</w:t>
            </w:r>
          </w:p>
        </w:tc>
        <w:tc>
          <w:tcPr>
            <w:tcW w:w="2744" w:type="dxa"/>
            <w:shd w:val="clear" w:color="auto" w:fill="E5E5E5"/>
          </w:tcPr>
          <w:p>
            <w:pPr>
              <w:pStyle w:val="TableParagraph"/>
              <w:spacing w:before="66"/>
              <w:ind w:left="127"/>
              <w:rPr>
                <w:b w:val="0"/>
                <w:sz w:val="24"/>
              </w:rPr>
            </w:pPr>
            <w:r>
              <w:rPr>
                <w:b w:val="0"/>
                <w:sz w:val="24"/>
              </w:rPr>
              <w:t>Field Placement I</w:t>
            </w:r>
          </w:p>
        </w:tc>
        <w:tc>
          <w:tcPr>
            <w:tcW w:w="924" w:type="dxa"/>
            <w:shd w:val="clear" w:color="auto" w:fill="E5E5E5"/>
          </w:tcPr>
          <w:p>
            <w:pPr>
              <w:pStyle w:val="TableParagraph"/>
              <w:spacing w:before="66"/>
              <w:ind w:right="174"/>
              <w:jc w:val="right"/>
              <w:rPr>
                <w:b w:val="0"/>
                <w:sz w:val="24"/>
              </w:rPr>
            </w:pPr>
            <w:r>
              <w:rPr>
                <w:b w:val="0"/>
                <w:sz w:val="24"/>
              </w:rPr>
              <w:t>3</w:t>
            </w:r>
          </w:p>
        </w:tc>
        <w:tc>
          <w:tcPr>
            <w:tcW w:w="1053" w:type="dxa"/>
            <w:shd w:val="clear" w:color="auto" w:fill="E5E5E5"/>
          </w:tcPr>
          <w:p>
            <w:pPr>
              <w:pStyle w:val="TableParagraph"/>
              <w:spacing w:before="66"/>
              <w:ind w:left="65" w:right="104"/>
              <w:jc w:val="center"/>
              <w:rPr>
                <w:b w:val="0"/>
                <w:sz w:val="24"/>
              </w:rPr>
            </w:pPr>
            <w:r>
              <w:rPr>
                <w:b w:val="0"/>
                <w:sz w:val="24"/>
              </w:rPr>
              <w:t>7052</w:t>
            </w:r>
          </w:p>
        </w:tc>
        <w:tc>
          <w:tcPr>
            <w:tcW w:w="2723" w:type="dxa"/>
            <w:shd w:val="clear" w:color="auto" w:fill="E5E5E5"/>
          </w:tcPr>
          <w:p>
            <w:pPr>
              <w:pStyle w:val="TableParagraph"/>
              <w:spacing w:before="66"/>
              <w:ind w:left="127"/>
              <w:rPr>
                <w:b w:val="0"/>
                <w:sz w:val="24"/>
              </w:rPr>
            </w:pPr>
            <w:r>
              <w:rPr>
                <w:b w:val="0"/>
                <w:sz w:val="24"/>
              </w:rPr>
              <w:t>Field Placement II</w:t>
            </w:r>
          </w:p>
        </w:tc>
        <w:tc>
          <w:tcPr>
            <w:tcW w:w="1389" w:type="dxa"/>
            <w:shd w:val="clear" w:color="auto" w:fill="E5E5E5"/>
          </w:tcPr>
          <w:p>
            <w:pPr>
              <w:pStyle w:val="TableParagraph"/>
              <w:spacing w:before="66"/>
              <w:ind w:right="371"/>
              <w:jc w:val="right"/>
              <w:rPr>
                <w:b w:val="0"/>
                <w:sz w:val="24"/>
              </w:rPr>
            </w:pPr>
            <w:r>
              <w:rPr>
                <w:b w:val="0"/>
                <w:sz w:val="24"/>
              </w:rPr>
              <w:t>3</w:t>
            </w:r>
          </w:p>
        </w:tc>
      </w:tr>
      <w:tr>
        <w:trPr>
          <w:trHeight w:val="355" w:hRule="atLeast"/>
        </w:trPr>
        <w:tc>
          <w:tcPr>
            <w:tcW w:w="1020" w:type="dxa"/>
          </w:tcPr>
          <w:p>
            <w:pPr>
              <w:pStyle w:val="TableParagraph"/>
              <w:spacing w:line="269" w:lineRule="exact" w:before="66"/>
              <w:ind w:left="126" w:right="106"/>
              <w:jc w:val="center"/>
              <w:rPr>
                <w:b w:val="0"/>
                <w:sz w:val="24"/>
              </w:rPr>
            </w:pPr>
            <w:r>
              <w:rPr>
                <w:b w:val="0"/>
                <w:sz w:val="24"/>
              </w:rPr>
              <w:t>Elective</w:t>
            </w:r>
          </w:p>
        </w:tc>
        <w:tc>
          <w:tcPr>
            <w:tcW w:w="2744" w:type="dxa"/>
          </w:tcPr>
          <w:p>
            <w:pPr>
              <w:pStyle w:val="TableParagraph"/>
              <w:spacing w:line="269" w:lineRule="exact" w:before="66"/>
              <w:ind w:left="127"/>
              <w:rPr>
                <w:b w:val="0"/>
                <w:sz w:val="24"/>
              </w:rPr>
            </w:pPr>
            <w:r>
              <w:rPr>
                <w:b w:val="0"/>
                <w:sz w:val="24"/>
              </w:rPr>
              <w:t>Elective</w:t>
            </w:r>
          </w:p>
        </w:tc>
        <w:tc>
          <w:tcPr>
            <w:tcW w:w="924" w:type="dxa"/>
          </w:tcPr>
          <w:p>
            <w:pPr>
              <w:pStyle w:val="TableParagraph"/>
              <w:spacing w:line="269" w:lineRule="exact" w:before="66"/>
              <w:ind w:right="174"/>
              <w:jc w:val="right"/>
              <w:rPr>
                <w:b w:val="0"/>
                <w:sz w:val="24"/>
              </w:rPr>
            </w:pPr>
            <w:r>
              <w:rPr>
                <w:b w:val="0"/>
                <w:sz w:val="24"/>
              </w:rPr>
              <w:t>3</w:t>
            </w:r>
          </w:p>
        </w:tc>
        <w:tc>
          <w:tcPr>
            <w:tcW w:w="1053" w:type="dxa"/>
          </w:tcPr>
          <w:p>
            <w:pPr>
              <w:pStyle w:val="TableParagraph"/>
              <w:spacing w:line="269" w:lineRule="exact" w:before="66"/>
              <w:ind w:left="159" w:right="102"/>
              <w:jc w:val="center"/>
              <w:rPr>
                <w:b w:val="0"/>
                <w:sz w:val="24"/>
              </w:rPr>
            </w:pPr>
            <w:r>
              <w:rPr>
                <w:b w:val="0"/>
                <w:sz w:val="24"/>
              </w:rPr>
              <w:t>Elective</w:t>
            </w:r>
          </w:p>
        </w:tc>
        <w:tc>
          <w:tcPr>
            <w:tcW w:w="2723" w:type="dxa"/>
          </w:tcPr>
          <w:p>
            <w:pPr>
              <w:pStyle w:val="TableParagraph"/>
              <w:spacing w:line="269" w:lineRule="exact" w:before="66"/>
              <w:ind w:left="127"/>
              <w:rPr>
                <w:b w:val="0"/>
                <w:sz w:val="24"/>
              </w:rPr>
            </w:pPr>
            <w:r>
              <w:rPr>
                <w:b w:val="0"/>
                <w:sz w:val="24"/>
              </w:rPr>
              <w:t>Elective</w:t>
            </w:r>
          </w:p>
        </w:tc>
        <w:tc>
          <w:tcPr>
            <w:tcW w:w="1389" w:type="dxa"/>
          </w:tcPr>
          <w:p>
            <w:pPr>
              <w:pStyle w:val="TableParagraph"/>
              <w:spacing w:line="269" w:lineRule="exact" w:before="66"/>
              <w:ind w:right="371"/>
              <w:jc w:val="right"/>
              <w:rPr>
                <w:b w:val="0"/>
                <w:sz w:val="24"/>
              </w:rPr>
            </w:pPr>
            <w:r>
              <w:rPr>
                <w:b w:val="0"/>
                <w:sz w:val="24"/>
              </w:rPr>
              <w:t>3</w:t>
            </w:r>
          </w:p>
        </w:tc>
      </w:tr>
    </w:tbl>
    <w:p>
      <w:pPr>
        <w:pStyle w:val="BodyText"/>
        <w:rPr>
          <w:rFonts w:ascii="Calibri Light"/>
          <w:b w:val="0"/>
          <w:sz w:val="20"/>
        </w:rPr>
      </w:pPr>
    </w:p>
    <w:p>
      <w:pPr>
        <w:pStyle w:val="BodyText"/>
        <w:spacing w:before="1"/>
        <w:rPr>
          <w:rFonts w:ascii="Calibri Light"/>
          <w:b w:val="0"/>
          <w:sz w:val="20"/>
        </w:rPr>
      </w:pPr>
    </w:p>
    <w:p>
      <w:pPr>
        <w:pStyle w:val="BodyText"/>
        <w:tabs>
          <w:tab w:pos="5419" w:val="left" w:leader="none"/>
          <w:tab w:pos="10747" w:val="left" w:leader="none"/>
        </w:tabs>
        <w:spacing w:before="86"/>
        <w:ind w:left="892"/>
        <w:rPr>
          <w:rFonts w:ascii="Calibri Light"/>
          <w:b w:val="0"/>
        </w:rPr>
      </w:pPr>
      <w:r>
        <w:rPr>
          <w:rFonts w:ascii="Times New Roman"/>
          <w:color w:val="FFFFFF"/>
          <w:shd w:fill="44546A" w:color="auto" w:val="clear"/>
        </w:rPr>
        <w:t> </w:t>
        <w:tab/>
      </w:r>
      <w:r>
        <w:rPr>
          <w:rFonts w:ascii="Calibri Light"/>
          <w:b w:val="0"/>
          <w:color w:val="FFFFFF"/>
          <w:spacing w:val="-3"/>
          <w:shd w:fill="44546A" w:color="auto" w:val="clear"/>
        </w:rPr>
        <w:t>SUMMER</w:t>
        <w:tab/>
      </w:r>
    </w:p>
    <w:p>
      <w:pPr>
        <w:pStyle w:val="BodyText"/>
        <w:spacing w:before="6"/>
        <w:rPr>
          <w:rFonts w:ascii="Calibri Light"/>
          <w:b w:val="0"/>
          <w:sz w:val="8"/>
        </w:rPr>
      </w:pPr>
    </w:p>
    <w:p>
      <w:pPr>
        <w:spacing w:after="0"/>
        <w:rPr>
          <w:rFonts w:ascii="Calibri Light"/>
          <w:sz w:val="8"/>
        </w:rPr>
        <w:sectPr>
          <w:footerReference w:type="default" r:id="rId43"/>
          <w:pgSz w:w="12240" w:h="15840"/>
          <w:pgMar w:footer="3028" w:header="0" w:top="1420" w:bottom="3220" w:left="300" w:right="920"/>
        </w:sectPr>
      </w:pPr>
    </w:p>
    <w:p>
      <w:pPr>
        <w:pStyle w:val="BodyText"/>
        <w:spacing w:line="268" w:lineRule="exact" w:before="52"/>
        <w:jc w:val="right"/>
        <w:rPr>
          <w:rFonts w:ascii="Calibri Light"/>
          <w:b w:val="0"/>
        </w:rPr>
      </w:pPr>
      <w:r>
        <w:rPr>
          <w:rFonts w:ascii="Calibri Light"/>
          <w:b w:val="0"/>
        </w:rPr>
        <w:t>7018</w:t>
      </w:r>
    </w:p>
    <w:p>
      <w:pPr>
        <w:pStyle w:val="BodyText"/>
        <w:spacing w:line="268" w:lineRule="exact"/>
        <w:jc w:val="right"/>
        <w:rPr>
          <w:rFonts w:ascii="Calibri Light"/>
          <w:b w:val="0"/>
        </w:rPr>
      </w:pPr>
      <w:r>
        <w:rPr>
          <w:rFonts w:ascii="Calibri Light"/>
          <w:b w:val="0"/>
        </w:rPr>
        <w:t>7016</w:t>
      </w:r>
    </w:p>
    <w:p>
      <w:pPr>
        <w:pStyle w:val="BodyText"/>
        <w:spacing w:line="248" w:lineRule="exact" w:before="52"/>
        <w:ind w:left="341"/>
        <w:rPr>
          <w:rFonts w:ascii="Calibri Light"/>
          <w:b w:val="0"/>
        </w:rPr>
      </w:pPr>
      <w:r>
        <w:rPr/>
        <w:br w:type="column"/>
      </w:r>
      <w:r>
        <w:rPr>
          <w:rFonts w:ascii="Calibri Light"/>
          <w:b w:val="0"/>
        </w:rPr>
        <w:t>Adv. Individual Adults or</w:t>
      </w:r>
    </w:p>
    <w:p>
      <w:pPr>
        <w:pStyle w:val="BodyText"/>
        <w:tabs>
          <w:tab w:pos="3703" w:val="right" w:leader="none"/>
        </w:tabs>
        <w:spacing w:line="288" w:lineRule="exact"/>
        <w:ind w:left="341"/>
        <w:rPr>
          <w:rFonts w:ascii="Calibri Light"/>
          <w:b w:val="0"/>
        </w:rPr>
      </w:pPr>
      <w:r>
        <w:rPr>
          <w:rFonts w:ascii="Calibri Light"/>
          <w:b w:val="0"/>
        </w:rPr>
        <w:t>Adv.</w:t>
      </w:r>
      <w:r>
        <w:rPr>
          <w:rFonts w:ascii="Calibri Light"/>
          <w:b w:val="0"/>
          <w:spacing w:val="-2"/>
        </w:rPr>
        <w:t> </w:t>
      </w:r>
      <w:r>
        <w:rPr>
          <w:rFonts w:ascii="Calibri Light"/>
          <w:b w:val="0"/>
        </w:rPr>
        <w:t>Individual</w:t>
      </w:r>
      <w:r>
        <w:rPr>
          <w:rFonts w:ascii="Calibri Light"/>
          <w:b w:val="0"/>
          <w:spacing w:val="-1"/>
        </w:rPr>
        <w:t> </w:t>
      </w:r>
      <w:r>
        <w:rPr>
          <w:rFonts w:ascii="Calibri Light"/>
          <w:b w:val="0"/>
        </w:rPr>
        <w:t>Child/Youth</w:t>
        <w:tab/>
      </w:r>
      <w:r>
        <w:rPr>
          <w:rFonts w:ascii="Calibri Light"/>
          <w:b w:val="0"/>
          <w:position w:val="4"/>
        </w:rPr>
        <w:t>3</w:t>
      </w:r>
    </w:p>
    <w:p>
      <w:pPr>
        <w:pStyle w:val="BodyText"/>
        <w:spacing w:line="268" w:lineRule="exact" w:before="52"/>
        <w:ind w:left="450"/>
        <w:rPr>
          <w:rFonts w:ascii="Calibri Light"/>
          <w:b w:val="0"/>
        </w:rPr>
      </w:pPr>
      <w:r>
        <w:rPr/>
        <w:br w:type="column"/>
      </w:r>
      <w:r>
        <w:rPr>
          <w:rFonts w:ascii="Calibri Light"/>
          <w:b w:val="0"/>
        </w:rPr>
        <w:t>7033</w:t>
      </w:r>
    </w:p>
    <w:p>
      <w:pPr>
        <w:pStyle w:val="BodyText"/>
        <w:spacing w:line="268" w:lineRule="exact"/>
        <w:ind w:left="450"/>
        <w:rPr>
          <w:rFonts w:ascii="Calibri Light"/>
          <w:b w:val="0"/>
        </w:rPr>
      </w:pPr>
      <w:r>
        <w:rPr>
          <w:rFonts w:ascii="Calibri Light"/>
          <w:b w:val="0"/>
        </w:rPr>
        <w:t>7032</w:t>
      </w:r>
    </w:p>
    <w:p>
      <w:pPr>
        <w:pStyle w:val="BodyText"/>
        <w:spacing w:line="248" w:lineRule="exact" w:before="52"/>
        <w:ind w:left="339"/>
        <w:rPr>
          <w:rFonts w:ascii="Calibri Light"/>
          <w:b w:val="0"/>
        </w:rPr>
      </w:pPr>
      <w:r>
        <w:rPr/>
        <w:br w:type="column"/>
      </w:r>
      <w:r>
        <w:rPr>
          <w:rFonts w:ascii="Calibri Light"/>
          <w:b w:val="0"/>
        </w:rPr>
        <w:t>Adv. Community Adults or</w:t>
      </w:r>
    </w:p>
    <w:p>
      <w:pPr>
        <w:pStyle w:val="BodyText"/>
        <w:tabs>
          <w:tab w:pos="3828" w:val="left" w:leader="none"/>
        </w:tabs>
        <w:spacing w:line="288" w:lineRule="exact"/>
        <w:ind w:left="339"/>
        <w:rPr>
          <w:rFonts w:ascii="Calibri Light"/>
          <w:b w:val="0"/>
        </w:rPr>
      </w:pPr>
      <w:r>
        <w:rPr>
          <w:rFonts w:ascii="Calibri Light"/>
          <w:b w:val="0"/>
        </w:rPr>
        <w:t>Adv.</w:t>
      </w:r>
      <w:r>
        <w:rPr>
          <w:rFonts w:ascii="Calibri Light"/>
          <w:b w:val="0"/>
          <w:spacing w:val="-3"/>
        </w:rPr>
        <w:t> </w:t>
      </w:r>
      <w:r>
        <w:rPr>
          <w:rFonts w:ascii="Calibri Light"/>
          <w:b w:val="0"/>
        </w:rPr>
        <w:t>Community</w:t>
      </w:r>
      <w:r>
        <w:rPr>
          <w:rFonts w:ascii="Calibri Light"/>
          <w:b w:val="0"/>
          <w:spacing w:val="-1"/>
        </w:rPr>
        <w:t> </w:t>
      </w:r>
      <w:r>
        <w:rPr>
          <w:rFonts w:ascii="Calibri Light"/>
          <w:b w:val="0"/>
        </w:rPr>
        <w:t>Child/Youth</w:t>
        <w:tab/>
      </w:r>
      <w:r>
        <w:rPr>
          <w:rFonts w:ascii="Calibri Light"/>
          <w:b w:val="0"/>
          <w:position w:val="4"/>
        </w:rPr>
        <w:t>3</w:t>
      </w:r>
    </w:p>
    <w:p>
      <w:pPr>
        <w:spacing w:after="0" w:line="288" w:lineRule="exact"/>
        <w:rPr>
          <w:rFonts w:ascii="Calibri Light"/>
        </w:rPr>
        <w:sectPr>
          <w:type w:val="continuous"/>
          <w:pgSz w:w="12240" w:h="15840"/>
          <w:pgMar w:top="1500" w:bottom="280" w:left="300" w:right="920"/>
          <w:cols w:num="4" w:equalWidth="0">
            <w:col w:w="1659" w:space="40"/>
            <w:col w:w="3704" w:space="39"/>
            <w:col w:w="940" w:space="39"/>
            <w:col w:w="4599"/>
          </w:cols>
        </w:sectPr>
      </w:pPr>
    </w:p>
    <w:p>
      <w:pPr>
        <w:pStyle w:val="BodyText"/>
        <w:spacing w:before="703"/>
        <w:ind w:left="3756" w:right="3139"/>
        <w:jc w:val="center"/>
        <w:rPr>
          <w:rFonts w:ascii="Calibri Light"/>
          <w:b w:val="0"/>
        </w:rPr>
      </w:pPr>
      <w:r>
        <w:rPr>
          <w:rFonts w:ascii="Calibri Light"/>
          <w:b w:val="0"/>
        </w:rPr>
        <w:t>Year 3 Concentration</w:t>
      </w:r>
    </w:p>
    <w:p>
      <w:pPr>
        <w:pStyle w:val="BodyText"/>
        <w:ind w:left="892"/>
        <w:rPr>
          <w:rFonts w:ascii="Calibri Light"/>
          <w:sz w:val="20"/>
        </w:rPr>
      </w:pPr>
      <w:r>
        <w:rPr>
          <w:rFonts w:ascii="Calibri Light"/>
          <w:sz w:val="20"/>
        </w:rPr>
        <w:pict>
          <v:shape style="width:492.75pt;height:14.65pt;mso-position-horizontal-relative:char;mso-position-vertical-relative:line" type="#_x0000_t202" filled="true" fillcolor="#44546a" stroked="false">
            <w10:anchorlock/>
            <v:textbox inset="0,0,0,0">
              <w:txbxContent>
                <w:p>
                  <w:pPr>
                    <w:pStyle w:val="BodyText"/>
                    <w:tabs>
                      <w:tab w:pos="6931" w:val="left" w:leader="none"/>
                    </w:tabs>
                    <w:spacing w:line="286" w:lineRule="exact" w:before="6"/>
                    <w:ind w:left="2140"/>
                    <w:rPr>
                      <w:rFonts w:ascii="Calibri Light"/>
                      <w:b w:val="0"/>
                    </w:rPr>
                  </w:pPr>
                  <w:r>
                    <w:rPr>
                      <w:rFonts w:ascii="Calibri Light"/>
                      <w:b w:val="0"/>
                      <w:color w:val="FFFFFF"/>
                    </w:rPr>
                    <w:t>FALL</w:t>
                    <w:tab/>
                    <w:t>SPRING</w:t>
                  </w:r>
                </w:p>
              </w:txbxContent>
            </v:textbox>
            <v:fill type="solid"/>
          </v:shape>
        </w:pict>
      </w:r>
      <w:r>
        <w:rPr>
          <w:rFonts w:ascii="Calibri Light"/>
          <w:sz w:val="20"/>
        </w:rPr>
      </w:r>
    </w:p>
    <w:p>
      <w:pPr>
        <w:pStyle w:val="BodyText"/>
        <w:spacing w:before="9" w:after="1"/>
        <w:rPr>
          <w:rFonts w:ascii="Calibri Light"/>
          <w:b w:val="0"/>
          <w:sz w:val="7"/>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6"/>
        <w:gridCol w:w="2811"/>
        <w:gridCol w:w="991"/>
        <w:gridCol w:w="919"/>
        <w:gridCol w:w="2964"/>
        <w:gridCol w:w="1211"/>
      </w:tblGrid>
      <w:tr>
        <w:trPr>
          <w:trHeight w:val="314" w:hRule="atLeast"/>
        </w:trPr>
        <w:tc>
          <w:tcPr>
            <w:tcW w:w="956" w:type="dxa"/>
          </w:tcPr>
          <w:p>
            <w:pPr>
              <w:pStyle w:val="TableParagraph"/>
              <w:spacing w:line="244" w:lineRule="exact"/>
              <w:ind w:left="238" w:right="153"/>
              <w:jc w:val="center"/>
              <w:rPr>
                <w:b w:val="0"/>
                <w:sz w:val="24"/>
              </w:rPr>
            </w:pPr>
            <w:r>
              <w:rPr>
                <w:b w:val="0"/>
                <w:sz w:val="24"/>
              </w:rPr>
              <w:t>7025</w:t>
            </w:r>
          </w:p>
        </w:tc>
        <w:tc>
          <w:tcPr>
            <w:tcW w:w="2811" w:type="dxa"/>
          </w:tcPr>
          <w:p>
            <w:pPr>
              <w:pStyle w:val="TableParagraph"/>
              <w:spacing w:line="244" w:lineRule="exact"/>
              <w:ind w:left="191"/>
              <w:rPr>
                <w:b w:val="0"/>
                <w:sz w:val="24"/>
              </w:rPr>
            </w:pPr>
            <w:r>
              <w:rPr>
                <w:b w:val="0"/>
                <w:sz w:val="24"/>
              </w:rPr>
              <w:t>Scientific Methods</w:t>
            </w:r>
          </w:p>
        </w:tc>
        <w:tc>
          <w:tcPr>
            <w:tcW w:w="991" w:type="dxa"/>
          </w:tcPr>
          <w:p>
            <w:pPr>
              <w:pStyle w:val="TableParagraph"/>
              <w:spacing w:line="244" w:lineRule="exact"/>
              <w:ind w:right="237"/>
              <w:jc w:val="right"/>
              <w:rPr>
                <w:b w:val="0"/>
                <w:sz w:val="24"/>
              </w:rPr>
            </w:pPr>
            <w:r>
              <w:rPr>
                <w:b w:val="0"/>
                <w:sz w:val="24"/>
              </w:rPr>
              <w:t>3</w:t>
            </w:r>
          </w:p>
        </w:tc>
        <w:tc>
          <w:tcPr>
            <w:tcW w:w="919" w:type="dxa"/>
          </w:tcPr>
          <w:p>
            <w:pPr>
              <w:pStyle w:val="TableParagraph"/>
              <w:spacing w:line="244" w:lineRule="exact"/>
              <w:ind w:right="186"/>
              <w:jc w:val="right"/>
              <w:rPr>
                <w:b w:val="0"/>
                <w:sz w:val="24"/>
              </w:rPr>
            </w:pPr>
            <w:r>
              <w:rPr>
                <w:b w:val="0"/>
                <w:sz w:val="24"/>
              </w:rPr>
              <w:t>7026</w:t>
            </w:r>
          </w:p>
        </w:tc>
        <w:tc>
          <w:tcPr>
            <w:tcW w:w="2964" w:type="dxa"/>
          </w:tcPr>
          <w:p>
            <w:pPr>
              <w:pStyle w:val="TableParagraph"/>
              <w:spacing w:line="244" w:lineRule="exact"/>
              <w:ind w:left="191"/>
              <w:rPr>
                <w:b w:val="0"/>
                <w:sz w:val="24"/>
              </w:rPr>
            </w:pPr>
            <w:r>
              <w:rPr>
                <w:b w:val="0"/>
                <w:sz w:val="24"/>
              </w:rPr>
              <w:t>Evaluative Research</w:t>
            </w:r>
          </w:p>
        </w:tc>
        <w:tc>
          <w:tcPr>
            <w:tcW w:w="1211" w:type="dxa"/>
          </w:tcPr>
          <w:p>
            <w:pPr>
              <w:pStyle w:val="TableParagraph"/>
              <w:spacing w:line="244" w:lineRule="exact"/>
              <w:ind w:right="370"/>
              <w:jc w:val="right"/>
              <w:rPr>
                <w:b w:val="0"/>
                <w:sz w:val="24"/>
              </w:rPr>
            </w:pPr>
            <w:r>
              <w:rPr>
                <w:b w:val="0"/>
                <w:sz w:val="24"/>
              </w:rPr>
              <w:t>3</w:t>
            </w:r>
          </w:p>
        </w:tc>
      </w:tr>
      <w:tr>
        <w:trPr>
          <w:trHeight w:val="518" w:hRule="atLeast"/>
        </w:trPr>
        <w:tc>
          <w:tcPr>
            <w:tcW w:w="956" w:type="dxa"/>
            <w:shd w:val="clear" w:color="auto" w:fill="DADADA"/>
          </w:tcPr>
          <w:p>
            <w:pPr>
              <w:pStyle w:val="TableParagraph"/>
              <w:spacing w:before="112"/>
              <w:ind w:left="238" w:right="153"/>
              <w:jc w:val="center"/>
              <w:rPr>
                <w:b w:val="0"/>
                <w:sz w:val="24"/>
              </w:rPr>
            </w:pPr>
            <w:r>
              <w:rPr>
                <w:b w:val="0"/>
                <w:sz w:val="24"/>
              </w:rPr>
              <w:t>7053</w:t>
            </w:r>
          </w:p>
        </w:tc>
        <w:tc>
          <w:tcPr>
            <w:tcW w:w="2811" w:type="dxa"/>
            <w:shd w:val="clear" w:color="auto" w:fill="DADADA"/>
          </w:tcPr>
          <w:p>
            <w:pPr>
              <w:pStyle w:val="TableParagraph"/>
              <w:spacing w:before="112"/>
              <w:ind w:left="191"/>
              <w:rPr>
                <w:b w:val="0"/>
                <w:sz w:val="24"/>
              </w:rPr>
            </w:pPr>
            <w:r>
              <w:rPr>
                <w:b w:val="0"/>
                <w:sz w:val="24"/>
              </w:rPr>
              <w:t>Field Placement III</w:t>
            </w:r>
          </w:p>
        </w:tc>
        <w:tc>
          <w:tcPr>
            <w:tcW w:w="991" w:type="dxa"/>
            <w:shd w:val="clear" w:color="auto" w:fill="DADADA"/>
          </w:tcPr>
          <w:p>
            <w:pPr>
              <w:pStyle w:val="TableParagraph"/>
              <w:spacing w:before="112"/>
              <w:ind w:right="247"/>
              <w:jc w:val="right"/>
              <w:rPr>
                <w:b w:val="0"/>
                <w:sz w:val="24"/>
              </w:rPr>
            </w:pPr>
            <w:r>
              <w:rPr>
                <w:b w:val="0"/>
                <w:sz w:val="24"/>
              </w:rPr>
              <w:t>3</w:t>
            </w:r>
          </w:p>
        </w:tc>
        <w:tc>
          <w:tcPr>
            <w:tcW w:w="919" w:type="dxa"/>
            <w:shd w:val="clear" w:color="auto" w:fill="DADADA"/>
          </w:tcPr>
          <w:p>
            <w:pPr>
              <w:pStyle w:val="TableParagraph"/>
              <w:spacing w:before="112"/>
              <w:ind w:right="186"/>
              <w:jc w:val="right"/>
              <w:rPr>
                <w:b w:val="0"/>
                <w:sz w:val="24"/>
              </w:rPr>
            </w:pPr>
            <w:r>
              <w:rPr>
                <w:b w:val="0"/>
                <w:sz w:val="24"/>
              </w:rPr>
              <w:t>7054</w:t>
            </w:r>
          </w:p>
        </w:tc>
        <w:tc>
          <w:tcPr>
            <w:tcW w:w="2964" w:type="dxa"/>
            <w:shd w:val="clear" w:color="auto" w:fill="DADADA"/>
          </w:tcPr>
          <w:p>
            <w:pPr>
              <w:pStyle w:val="TableParagraph"/>
              <w:spacing w:before="112"/>
              <w:ind w:left="191"/>
              <w:rPr>
                <w:b w:val="0"/>
                <w:sz w:val="24"/>
              </w:rPr>
            </w:pPr>
            <w:r>
              <w:rPr>
                <w:b w:val="0"/>
                <w:sz w:val="24"/>
              </w:rPr>
              <w:t>Field Placement IV</w:t>
            </w:r>
          </w:p>
        </w:tc>
        <w:tc>
          <w:tcPr>
            <w:tcW w:w="1211" w:type="dxa"/>
            <w:shd w:val="clear" w:color="auto" w:fill="DADADA"/>
          </w:tcPr>
          <w:p>
            <w:pPr>
              <w:pStyle w:val="TableParagraph"/>
              <w:spacing w:before="112"/>
              <w:ind w:right="370"/>
              <w:jc w:val="right"/>
              <w:rPr>
                <w:b w:val="0"/>
                <w:sz w:val="24"/>
              </w:rPr>
            </w:pPr>
            <w:r>
              <w:rPr>
                <w:b w:val="0"/>
                <w:sz w:val="24"/>
              </w:rPr>
              <w:t>3</w:t>
            </w:r>
          </w:p>
        </w:tc>
      </w:tr>
      <w:tr>
        <w:trPr>
          <w:trHeight w:val="357" w:hRule="atLeast"/>
        </w:trPr>
        <w:tc>
          <w:tcPr>
            <w:tcW w:w="956" w:type="dxa"/>
          </w:tcPr>
          <w:p>
            <w:pPr>
              <w:pStyle w:val="TableParagraph"/>
              <w:spacing w:line="269" w:lineRule="exact" w:before="69"/>
              <w:ind w:left="238" w:right="153"/>
              <w:jc w:val="center"/>
              <w:rPr>
                <w:b w:val="0"/>
                <w:sz w:val="24"/>
              </w:rPr>
            </w:pPr>
            <w:r>
              <w:rPr>
                <w:b w:val="0"/>
                <w:sz w:val="24"/>
              </w:rPr>
              <w:t>7055</w:t>
            </w:r>
          </w:p>
        </w:tc>
        <w:tc>
          <w:tcPr>
            <w:tcW w:w="2811" w:type="dxa"/>
          </w:tcPr>
          <w:p>
            <w:pPr>
              <w:pStyle w:val="TableParagraph"/>
              <w:spacing w:line="269" w:lineRule="exact" w:before="69"/>
              <w:ind w:left="191"/>
              <w:rPr>
                <w:b w:val="0"/>
                <w:sz w:val="24"/>
              </w:rPr>
            </w:pPr>
            <w:r>
              <w:rPr>
                <w:b w:val="0"/>
                <w:sz w:val="24"/>
              </w:rPr>
              <w:t>Integrative Seminar I</w:t>
            </w:r>
          </w:p>
        </w:tc>
        <w:tc>
          <w:tcPr>
            <w:tcW w:w="991" w:type="dxa"/>
          </w:tcPr>
          <w:p>
            <w:pPr>
              <w:pStyle w:val="TableParagraph"/>
              <w:spacing w:line="269" w:lineRule="exact" w:before="69"/>
              <w:ind w:right="247"/>
              <w:jc w:val="right"/>
              <w:rPr>
                <w:b w:val="0"/>
                <w:sz w:val="24"/>
              </w:rPr>
            </w:pPr>
            <w:r>
              <w:rPr>
                <w:b w:val="0"/>
                <w:sz w:val="24"/>
              </w:rPr>
              <w:t>3</w:t>
            </w:r>
          </w:p>
        </w:tc>
        <w:tc>
          <w:tcPr>
            <w:tcW w:w="919" w:type="dxa"/>
          </w:tcPr>
          <w:p>
            <w:pPr>
              <w:pStyle w:val="TableParagraph"/>
              <w:spacing w:line="269" w:lineRule="exact" w:before="69"/>
              <w:ind w:right="186"/>
              <w:jc w:val="right"/>
              <w:rPr>
                <w:b w:val="0"/>
                <w:sz w:val="24"/>
              </w:rPr>
            </w:pPr>
            <w:r>
              <w:rPr>
                <w:b w:val="0"/>
                <w:sz w:val="24"/>
              </w:rPr>
              <w:t>7056</w:t>
            </w:r>
          </w:p>
        </w:tc>
        <w:tc>
          <w:tcPr>
            <w:tcW w:w="2964" w:type="dxa"/>
          </w:tcPr>
          <w:p>
            <w:pPr>
              <w:pStyle w:val="TableParagraph"/>
              <w:spacing w:line="269" w:lineRule="exact" w:before="69"/>
              <w:ind w:left="191"/>
              <w:rPr>
                <w:b w:val="0"/>
                <w:sz w:val="24"/>
              </w:rPr>
            </w:pPr>
            <w:r>
              <w:rPr>
                <w:b w:val="0"/>
                <w:sz w:val="24"/>
              </w:rPr>
              <w:t>Integrative Seminar II</w:t>
            </w:r>
          </w:p>
        </w:tc>
        <w:tc>
          <w:tcPr>
            <w:tcW w:w="1211" w:type="dxa"/>
          </w:tcPr>
          <w:p>
            <w:pPr>
              <w:pStyle w:val="TableParagraph"/>
              <w:spacing w:line="269" w:lineRule="exact" w:before="69"/>
              <w:ind w:right="370"/>
              <w:jc w:val="right"/>
              <w:rPr>
                <w:b w:val="0"/>
                <w:sz w:val="24"/>
              </w:rPr>
            </w:pPr>
            <w:r>
              <w:rPr>
                <w:b w:val="0"/>
                <w:sz w:val="24"/>
              </w:rPr>
              <w:t>3</w:t>
            </w:r>
          </w:p>
        </w:tc>
      </w:tr>
    </w:tbl>
    <w:p>
      <w:pPr>
        <w:spacing w:after="0" w:line="269" w:lineRule="exact"/>
        <w:jc w:val="right"/>
        <w:rPr>
          <w:sz w:val="24"/>
        </w:rPr>
        <w:sectPr>
          <w:type w:val="continuous"/>
          <w:pgSz w:w="12240" w:h="15840"/>
          <w:pgMar w:top="1500" w:bottom="280" w:left="300" w:right="920"/>
        </w:sectPr>
      </w:pPr>
    </w:p>
    <w:p>
      <w:pPr>
        <w:pStyle w:val="ListParagraph"/>
        <w:numPr>
          <w:ilvl w:val="0"/>
          <w:numId w:val="16"/>
        </w:numPr>
        <w:tabs>
          <w:tab w:pos="3459" w:val="left" w:leader="none"/>
        </w:tabs>
        <w:spacing w:line="240" w:lineRule="auto" w:before="26" w:after="0"/>
        <w:ind w:left="3458" w:right="0" w:hanging="178"/>
        <w:jc w:val="left"/>
        <w:rPr>
          <w:rFonts w:ascii="Calibri Light"/>
          <w:b w:val="0"/>
          <w:sz w:val="24"/>
        </w:rPr>
      </w:pPr>
      <w:r>
        <w:rPr>
          <w:rFonts w:ascii="Calibri Light"/>
          <w:b w:val="0"/>
          <w:spacing w:val="-3"/>
          <w:sz w:val="24"/>
        </w:rPr>
        <w:t>year </w:t>
      </w:r>
      <w:r>
        <w:rPr>
          <w:rFonts w:ascii="Calibri Light"/>
          <w:b w:val="0"/>
          <w:sz w:val="24"/>
        </w:rPr>
        <w:t>plan, Extended Study MSW</w:t>
      </w:r>
      <w:r>
        <w:rPr>
          <w:rFonts w:ascii="Calibri Light"/>
          <w:b w:val="0"/>
          <w:spacing w:val="-4"/>
          <w:sz w:val="24"/>
        </w:rPr>
        <w:t> </w:t>
      </w:r>
      <w:r>
        <w:rPr>
          <w:rFonts w:ascii="Calibri Light"/>
          <w:b w:val="0"/>
          <w:sz w:val="24"/>
        </w:rPr>
        <w:t>Curriculum</w:t>
      </w:r>
    </w:p>
    <w:p>
      <w:pPr>
        <w:pStyle w:val="BodyText"/>
        <w:rPr>
          <w:rFonts w:ascii="Calibri Light"/>
          <w:b w:val="0"/>
        </w:rPr>
      </w:pPr>
    </w:p>
    <w:p>
      <w:pPr>
        <w:pStyle w:val="BodyText"/>
        <w:spacing w:before="4"/>
        <w:rPr>
          <w:rFonts w:ascii="Calibri Light"/>
          <w:b w:val="0"/>
        </w:rPr>
      </w:pPr>
    </w:p>
    <w:p>
      <w:pPr>
        <w:pStyle w:val="BodyText"/>
        <w:spacing w:before="1"/>
        <w:ind w:left="3761" w:right="3139"/>
        <w:jc w:val="center"/>
        <w:rPr>
          <w:rFonts w:ascii="Calibri Light"/>
          <w:b w:val="0"/>
        </w:rPr>
      </w:pPr>
      <w:r>
        <w:rPr>
          <w:rFonts w:ascii="Calibri Light"/>
          <w:b w:val="0"/>
        </w:rPr>
        <w:t>Year 1 Foundation</w:t>
      </w: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6"/>
        <w:gridCol w:w="3052"/>
        <w:gridCol w:w="745"/>
        <w:gridCol w:w="923"/>
        <w:gridCol w:w="3076"/>
        <w:gridCol w:w="1100"/>
      </w:tblGrid>
      <w:tr>
        <w:trPr>
          <w:trHeight w:val="299" w:hRule="atLeast"/>
        </w:trPr>
        <w:tc>
          <w:tcPr>
            <w:tcW w:w="956" w:type="dxa"/>
            <w:shd w:val="clear" w:color="auto" w:fill="44546A"/>
          </w:tcPr>
          <w:p>
            <w:pPr>
              <w:pStyle w:val="TableParagraph"/>
              <w:rPr>
                <w:rFonts w:ascii="Times New Roman"/>
                <w:sz w:val="22"/>
              </w:rPr>
            </w:pPr>
          </w:p>
        </w:tc>
        <w:tc>
          <w:tcPr>
            <w:tcW w:w="3052" w:type="dxa"/>
            <w:shd w:val="clear" w:color="auto" w:fill="44546A"/>
          </w:tcPr>
          <w:p>
            <w:pPr>
              <w:pStyle w:val="TableParagraph"/>
              <w:spacing w:line="273" w:lineRule="exact"/>
              <w:ind w:left="1168" w:right="1397"/>
              <w:jc w:val="center"/>
              <w:rPr>
                <w:b w:val="0"/>
                <w:sz w:val="24"/>
              </w:rPr>
            </w:pPr>
            <w:r>
              <w:rPr>
                <w:b w:val="0"/>
                <w:color w:val="FFFFFF"/>
                <w:sz w:val="24"/>
              </w:rPr>
              <w:t>FALL</w:t>
            </w:r>
          </w:p>
        </w:tc>
        <w:tc>
          <w:tcPr>
            <w:tcW w:w="745" w:type="dxa"/>
            <w:shd w:val="clear" w:color="auto" w:fill="44546A"/>
          </w:tcPr>
          <w:p>
            <w:pPr>
              <w:pStyle w:val="TableParagraph"/>
              <w:rPr>
                <w:rFonts w:ascii="Times New Roman"/>
                <w:sz w:val="22"/>
              </w:rPr>
            </w:pPr>
          </w:p>
        </w:tc>
        <w:tc>
          <w:tcPr>
            <w:tcW w:w="923" w:type="dxa"/>
            <w:shd w:val="clear" w:color="auto" w:fill="44546A"/>
          </w:tcPr>
          <w:p>
            <w:pPr>
              <w:pStyle w:val="TableParagraph"/>
              <w:rPr>
                <w:rFonts w:ascii="Times New Roman"/>
                <w:sz w:val="22"/>
              </w:rPr>
            </w:pPr>
          </w:p>
        </w:tc>
        <w:tc>
          <w:tcPr>
            <w:tcW w:w="3076" w:type="dxa"/>
            <w:shd w:val="clear" w:color="auto" w:fill="44546A"/>
          </w:tcPr>
          <w:p>
            <w:pPr>
              <w:pStyle w:val="TableParagraph"/>
              <w:spacing w:line="273" w:lineRule="exact"/>
              <w:ind w:left="1241" w:right="1073"/>
              <w:jc w:val="center"/>
              <w:rPr>
                <w:b w:val="0"/>
                <w:sz w:val="24"/>
              </w:rPr>
            </w:pPr>
            <w:r>
              <w:rPr>
                <w:b w:val="0"/>
                <w:color w:val="FFFFFF"/>
                <w:sz w:val="24"/>
              </w:rPr>
              <w:t>SPRING</w:t>
            </w:r>
          </w:p>
        </w:tc>
        <w:tc>
          <w:tcPr>
            <w:tcW w:w="1100" w:type="dxa"/>
            <w:shd w:val="clear" w:color="auto" w:fill="44546A"/>
          </w:tcPr>
          <w:p>
            <w:pPr>
              <w:pStyle w:val="TableParagraph"/>
              <w:rPr>
                <w:rFonts w:ascii="Times New Roman"/>
                <w:sz w:val="22"/>
              </w:rPr>
            </w:pPr>
          </w:p>
        </w:tc>
      </w:tr>
      <w:tr>
        <w:trPr>
          <w:trHeight w:val="420" w:hRule="atLeast"/>
        </w:trPr>
        <w:tc>
          <w:tcPr>
            <w:tcW w:w="956" w:type="dxa"/>
          </w:tcPr>
          <w:p>
            <w:pPr>
              <w:pStyle w:val="TableParagraph"/>
              <w:spacing w:before="69"/>
              <w:ind w:left="238" w:right="153"/>
              <w:jc w:val="center"/>
              <w:rPr>
                <w:b w:val="0"/>
                <w:sz w:val="24"/>
              </w:rPr>
            </w:pPr>
            <w:r>
              <w:rPr>
                <w:b w:val="0"/>
                <w:sz w:val="24"/>
              </w:rPr>
              <w:t>7001</w:t>
            </w:r>
          </w:p>
        </w:tc>
        <w:tc>
          <w:tcPr>
            <w:tcW w:w="3052" w:type="dxa"/>
          </w:tcPr>
          <w:p>
            <w:pPr>
              <w:pStyle w:val="TableParagraph"/>
              <w:spacing w:before="69"/>
              <w:ind w:left="191"/>
              <w:rPr>
                <w:b w:val="0"/>
                <w:sz w:val="24"/>
              </w:rPr>
            </w:pPr>
            <w:r>
              <w:rPr>
                <w:b w:val="0"/>
                <w:sz w:val="24"/>
              </w:rPr>
              <w:t>Social Work Practice Skills</w:t>
            </w:r>
          </w:p>
        </w:tc>
        <w:tc>
          <w:tcPr>
            <w:tcW w:w="745" w:type="dxa"/>
          </w:tcPr>
          <w:p>
            <w:pPr>
              <w:pStyle w:val="TableParagraph"/>
              <w:spacing w:before="69"/>
              <w:ind w:right="239"/>
              <w:jc w:val="right"/>
              <w:rPr>
                <w:b w:val="0"/>
                <w:sz w:val="24"/>
              </w:rPr>
            </w:pPr>
            <w:r>
              <w:rPr>
                <w:b w:val="0"/>
                <w:sz w:val="24"/>
              </w:rPr>
              <w:t>3</w:t>
            </w:r>
          </w:p>
        </w:tc>
        <w:tc>
          <w:tcPr>
            <w:tcW w:w="923" w:type="dxa"/>
          </w:tcPr>
          <w:p>
            <w:pPr>
              <w:pStyle w:val="TableParagraph"/>
              <w:spacing w:before="69"/>
              <w:ind w:left="225" w:right="171"/>
              <w:jc w:val="center"/>
              <w:rPr>
                <w:b w:val="0"/>
                <w:sz w:val="24"/>
              </w:rPr>
            </w:pPr>
            <w:r>
              <w:rPr>
                <w:b w:val="0"/>
                <w:sz w:val="24"/>
              </w:rPr>
              <w:t>7002</w:t>
            </w:r>
          </w:p>
        </w:tc>
        <w:tc>
          <w:tcPr>
            <w:tcW w:w="3076" w:type="dxa"/>
          </w:tcPr>
          <w:p>
            <w:pPr>
              <w:pStyle w:val="TableParagraph"/>
              <w:spacing w:before="69"/>
              <w:ind w:left="191"/>
              <w:rPr>
                <w:b w:val="0"/>
                <w:sz w:val="24"/>
              </w:rPr>
            </w:pPr>
            <w:r>
              <w:rPr>
                <w:b w:val="0"/>
                <w:sz w:val="24"/>
              </w:rPr>
              <w:t>Individuals and Families</w:t>
            </w:r>
          </w:p>
        </w:tc>
        <w:tc>
          <w:tcPr>
            <w:tcW w:w="1100" w:type="dxa"/>
          </w:tcPr>
          <w:p>
            <w:pPr>
              <w:pStyle w:val="TableParagraph"/>
              <w:spacing w:before="69"/>
              <w:ind w:right="370"/>
              <w:jc w:val="right"/>
              <w:rPr>
                <w:b w:val="0"/>
                <w:sz w:val="24"/>
              </w:rPr>
            </w:pPr>
            <w:r>
              <w:rPr>
                <w:b w:val="0"/>
                <w:sz w:val="24"/>
              </w:rPr>
              <w:t>3</w:t>
            </w:r>
          </w:p>
        </w:tc>
      </w:tr>
      <w:tr>
        <w:trPr>
          <w:trHeight w:val="431" w:hRule="atLeast"/>
        </w:trPr>
        <w:tc>
          <w:tcPr>
            <w:tcW w:w="956" w:type="dxa"/>
            <w:shd w:val="clear" w:color="auto" w:fill="E5E5E5"/>
          </w:tcPr>
          <w:p>
            <w:pPr>
              <w:pStyle w:val="TableParagraph"/>
              <w:spacing w:before="58"/>
              <w:ind w:left="238" w:right="153"/>
              <w:jc w:val="center"/>
              <w:rPr>
                <w:b w:val="0"/>
                <w:sz w:val="24"/>
              </w:rPr>
            </w:pPr>
            <w:r>
              <w:rPr>
                <w:b w:val="0"/>
                <w:sz w:val="24"/>
              </w:rPr>
              <w:t>7021</w:t>
            </w:r>
          </w:p>
        </w:tc>
        <w:tc>
          <w:tcPr>
            <w:tcW w:w="3052" w:type="dxa"/>
            <w:shd w:val="clear" w:color="auto" w:fill="E5E5E5"/>
          </w:tcPr>
          <w:p>
            <w:pPr>
              <w:pStyle w:val="TableParagraph"/>
              <w:spacing w:before="58"/>
              <w:ind w:left="191"/>
              <w:rPr>
                <w:b w:val="0"/>
                <w:sz w:val="24"/>
              </w:rPr>
            </w:pPr>
            <w:r>
              <w:rPr>
                <w:b w:val="0"/>
                <w:sz w:val="24"/>
              </w:rPr>
              <w:t>SW Across the Lifespan</w:t>
            </w:r>
          </w:p>
        </w:tc>
        <w:tc>
          <w:tcPr>
            <w:tcW w:w="745" w:type="dxa"/>
            <w:shd w:val="clear" w:color="auto" w:fill="E5E5E5"/>
          </w:tcPr>
          <w:p>
            <w:pPr>
              <w:pStyle w:val="TableParagraph"/>
              <w:spacing w:before="58"/>
              <w:ind w:right="239"/>
              <w:jc w:val="right"/>
              <w:rPr>
                <w:b w:val="0"/>
                <w:sz w:val="24"/>
              </w:rPr>
            </w:pPr>
            <w:r>
              <w:rPr>
                <w:b w:val="0"/>
                <w:sz w:val="24"/>
              </w:rPr>
              <w:t>3</w:t>
            </w:r>
          </w:p>
        </w:tc>
        <w:tc>
          <w:tcPr>
            <w:tcW w:w="923" w:type="dxa"/>
            <w:shd w:val="clear" w:color="auto" w:fill="E5E5E5"/>
          </w:tcPr>
          <w:p>
            <w:pPr>
              <w:pStyle w:val="TableParagraph"/>
              <w:spacing w:before="58"/>
              <w:ind w:left="225" w:right="171"/>
              <w:jc w:val="center"/>
              <w:rPr>
                <w:b w:val="0"/>
                <w:sz w:val="24"/>
              </w:rPr>
            </w:pPr>
            <w:r>
              <w:rPr>
                <w:b w:val="0"/>
                <w:sz w:val="24"/>
              </w:rPr>
              <w:t>7005</w:t>
            </w:r>
          </w:p>
        </w:tc>
        <w:tc>
          <w:tcPr>
            <w:tcW w:w="3076" w:type="dxa"/>
            <w:shd w:val="clear" w:color="auto" w:fill="E5E5E5"/>
          </w:tcPr>
          <w:p>
            <w:pPr>
              <w:pStyle w:val="TableParagraph"/>
              <w:spacing w:before="58"/>
              <w:ind w:left="191"/>
              <w:rPr>
                <w:b w:val="0"/>
                <w:sz w:val="24"/>
              </w:rPr>
            </w:pPr>
            <w:r>
              <w:rPr>
                <w:b w:val="0"/>
                <w:sz w:val="24"/>
              </w:rPr>
              <w:t>Psychopathology</w:t>
            </w:r>
          </w:p>
        </w:tc>
        <w:tc>
          <w:tcPr>
            <w:tcW w:w="1100" w:type="dxa"/>
            <w:shd w:val="clear" w:color="auto" w:fill="E5E5E5"/>
          </w:tcPr>
          <w:p>
            <w:pPr>
              <w:pStyle w:val="TableParagraph"/>
              <w:spacing w:before="58"/>
              <w:ind w:right="370"/>
              <w:jc w:val="right"/>
              <w:rPr>
                <w:b w:val="0"/>
                <w:sz w:val="24"/>
              </w:rPr>
            </w:pPr>
            <w:r>
              <w:rPr>
                <w:b w:val="0"/>
                <w:sz w:val="24"/>
              </w:rPr>
              <w:t>3</w:t>
            </w:r>
          </w:p>
        </w:tc>
      </w:tr>
    </w:tbl>
    <w:p>
      <w:pPr>
        <w:pStyle w:val="BodyText"/>
        <w:tabs>
          <w:tab w:pos="5098" w:val="left" w:leader="none"/>
          <w:tab w:pos="10474" w:val="left" w:leader="none"/>
        </w:tabs>
        <w:spacing w:before="183"/>
        <w:ind w:left="620"/>
        <w:jc w:val="center"/>
        <w:rPr>
          <w:rFonts w:ascii="Calibri Light"/>
          <w:b w:val="0"/>
        </w:rPr>
      </w:pPr>
      <w:r>
        <w:rPr>
          <w:rFonts w:ascii="Times New Roman"/>
          <w:color w:val="FFFFFF"/>
          <w:shd w:fill="44546A" w:color="auto" w:val="clear"/>
        </w:rPr>
        <w:t> </w:t>
        <w:tab/>
      </w:r>
      <w:r>
        <w:rPr>
          <w:rFonts w:ascii="Calibri Light"/>
          <w:b w:val="0"/>
          <w:color w:val="FFFFFF"/>
          <w:spacing w:val="-3"/>
          <w:shd w:fill="44546A" w:color="auto" w:val="clear"/>
        </w:rPr>
        <w:t>SUMMER</w:t>
        <w:tab/>
      </w:r>
    </w:p>
    <w:p>
      <w:pPr>
        <w:pStyle w:val="BodyText"/>
        <w:tabs>
          <w:tab w:pos="1389" w:val="left" w:leader="none"/>
          <w:tab w:pos="4629" w:val="left" w:leader="none"/>
          <w:tab w:pos="5243" w:val="left" w:leader="none"/>
          <w:tab w:pos="6110" w:val="left" w:leader="none"/>
          <w:tab w:pos="9597" w:val="left" w:leader="none"/>
        </w:tabs>
        <w:spacing w:before="79"/>
        <w:ind w:left="520"/>
        <w:jc w:val="center"/>
        <w:rPr>
          <w:rFonts w:ascii="Calibri Light"/>
          <w:b w:val="0"/>
        </w:rPr>
      </w:pPr>
      <w:r>
        <w:rPr>
          <w:rFonts w:ascii="Calibri Light"/>
          <w:b w:val="0"/>
        </w:rPr>
        <w:t>7003</w:t>
        <w:tab/>
        <w:t>Groups</w:t>
        <w:tab/>
        <w:t>3</w:t>
        <w:tab/>
        <w:t>7022</w:t>
        <w:tab/>
        <w:t>Communities</w:t>
      </w:r>
      <w:r>
        <w:rPr>
          <w:rFonts w:ascii="Calibri Light"/>
          <w:b w:val="0"/>
          <w:spacing w:val="-9"/>
        </w:rPr>
        <w:t> </w:t>
      </w:r>
      <w:r>
        <w:rPr>
          <w:rFonts w:ascii="Calibri Light"/>
          <w:b w:val="0"/>
        </w:rPr>
        <w:t>and</w:t>
      </w:r>
      <w:r>
        <w:rPr>
          <w:rFonts w:ascii="Calibri Light"/>
          <w:b w:val="0"/>
          <w:spacing w:val="-10"/>
        </w:rPr>
        <w:t> </w:t>
      </w:r>
      <w:r>
        <w:rPr>
          <w:rFonts w:ascii="Calibri Light"/>
          <w:b w:val="0"/>
        </w:rPr>
        <w:t>Organizations</w:t>
        <w:tab/>
        <w:t>3</w:t>
      </w:r>
    </w:p>
    <w:p>
      <w:pPr>
        <w:pStyle w:val="BodyText"/>
        <w:rPr>
          <w:rFonts w:ascii="Calibri Light"/>
          <w:b w:val="0"/>
          <w:sz w:val="20"/>
        </w:rPr>
      </w:pPr>
    </w:p>
    <w:p>
      <w:pPr>
        <w:pStyle w:val="BodyText"/>
        <w:spacing w:before="8"/>
        <w:rPr>
          <w:rFonts w:ascii="Calibri Light"/>
          <w:b w:val="0"/>
          <w:sz w:val="21"/>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6"/>
        <w:gridCol w:w="2636"/>
        <w:gridCol w:w="2243"/>
        <w:gridCol w:w="2664"/>
        <w:gridCol w:w="1352"/>
      </w:tblGrid>
      <w:tr>
        <w:trPr>
          <w:trHeight w:val="295" w:hRule="atLeast"/>
        </w:trPr>
        <w:tc>
          <w:tcPr>
            <w:tcW w:w="3592" w:type="dxa"/>
            <w:gridSpan w:val="2"/>
          </w:tcPr>
          <w:p>
            <w:pPr>
              <w:pStyle w:val="TableParagraph"/>
              <w:rPr>
                <w:rFonts w:ascii="Times New Roman"/>
                <w:sz w:val="22"/>
              </w:rPr>
            </w:pPr>
          </w:p>
        </w:tc>
        <w:tc>
          <w:tcPr>
            <w:tcW w:w="2243" w:type="dxa"/>
          </w:tcPr>
          <w:p>
            <w:pPr>
              <w:pStyle w:val="TableParagraph"/>
              <w:spacing w:line="244" w:lineRule="exact"/>
              <w:ind w:right="25"/>
              <w:jc w:val="right"/>
              <w:rPr>
                <w:b w:val="0"/>
                <w:sz w:val="24"/>
              </w:rPr>
            </w:pPr>
            <w:r>
              <w:rPr>
                <w:b w:val="0"/>
                <w:sz w:val="24"/>
              </w:rPr>
              <w:t>Year 2 Foundation</w:t>
            </w:r>
          </w:p>
        </w:tc>
        <w:tc>
          <w:tcPr>
            <w:tcW w:w="4016" w:type="dxa"/>
            <w:gridSpan w:val="2"/>
          </w:tcPr>
          <w:p>
            <w:pPr>
              <w:pStyle w:val="TableParagraph"/>
              <w:rPr>
                <w:rFonts w:ascii="Times New Roman"/>
                <w:sz w:val="22"/>
              </w:rPr>
            </w:pPr>
          </w:p>
        </w:tc>
      </w:tr>
      <w:tr>
        <w:trPr>
          <w:trHeight w:val="295" w:hRule="atLeast"/>
        </w:trPr>
        <w:tc>
          <w:tcPr>
            <w:tcW w:w="956" w:type="dxa"/>
            <w:shd w:val="clear" w:color="auto" w:fill="44546A"/>
          </w:tcPr>
          <w:p>
            <w:pPr>
              <w:pStyle w:val="TableParagraph"/>
              <w:rPr>
                <w:rFonts w:ascii="Times New Roman"/>
                <w:sz w:val="20"/>
              </w:rPr>
            </w:pPr>
          </w:p>
        </w:tc>
        <w:tc>
          <w:tcPr>
            <w:tcW w:w="2636" w:type="dxa"/>
            <w:shd w:val="clear" w:color="auto" w:fill="44546A"/>
          </w:tcPr>
          <w:p>
            <w:pPr>
              <w:pStyle w:val="TableParagraph"/>
              <w:spacing w:line="266" w:lineRule="exact" w:before="6"/>
              <w:ind w:left="1169" w:right="980"/>
              <w:jc w:val="center"/>
              <w:rPr>
                <w:b w:val="0"/>
                <w:sz w:val="24"/>
              </w:rPr>
            </w:pPr>
            <w:r>
              <w:rPr>
                <w:b w:val="0"/>
                <w:color w:val="FFFFFF"/>
                <w:sz w:val="24"/>
              </w:rPr>
              <w:t>FALL</w:t>
            </w:r>
          </w:p>
        </w:tc>
        <w:tc>
          <w:tcPr>
            <w:tcW w:w="2243" w:type="dxa"/>
            <w:shd w:val="clear" w:color="auto" w:fill="44546A"/>
          </w:tcPr>
          <w:p>
            <w:pPr>
              <w:pStyle w:val="TableParagraph"/>
              <w:rPr>
                <w:rFonts w:ascii="Times New Roman"/>
                <w:sz w:val="20"/>
              </w:rPr>
            </w:pPr>
          </w:p>
        </w:tc>
        <w:tc>
          <w:tcPr>
            <w:tcW w:w="2664" w:type="dxa"/>
            <w:shd w:val="clear" w:color="auto" w:fill="44546A"/>
          </w:tcPr>
          <w:p>
            <w:pPr>
              <w:pStyle w:val="TableParagraph"/>
              <w:spacing w:line="266" w:lineRule="exact" w:before="6"/>
              <w:ind w:left="1093"/>
              <w:rPr>
                <w:b w:val="0"/>
                <w:sz w:val="24"/>
              </w:rPr>
            </w:pPr>
            <w:r>
              <w:rPr>
                <w:b w:val="0"/>
                <w:color w:val="FFFFFF"/>
                <w:sz w:val="24"/>
              </w:rPr>
              <w:t>SPRING</w:t>
            </w:r>
          </w:p>
        </w:tc>
        <w:tc>
          <w:tcPr>
            <w:tcW w:w="1352" w:type="dxa"/>
            <w:shd w:val="clear" w:color="auto" w:fill="44546A"/>
          </w:tcPr>
          <w:p>
            <w:pPr>
              <w:pStyle w:val="TableParagraph"/>
              <w:rPr>
                <w:rFonts w:ascii="Times New Roman"/>
                <w:sz w:val="20"/>
              </w:rPr>
            </w:pPr>
          </w:p>
        </w:tc>
      </w:tr>
      <w:tr>
        <w:trPr>
          <w:trHeight w:val="430" w:hRule="atLeast"/>
        </w:trPr>
        <w:tc>
          <w:tcPr>
            <w:tcW w:w="956" w:type="dxa"/>
          </w:tcPr>
          <w:p>
            <w:pPr>
              <w:pStyle w:val="TableParagraph"/>
              <w:spacing w:before="66"/>
              <w:ind w:left="238" w:right="153"/>
              <w:jc w:val="center"/>
              <w:rPr>
                <w:b w:val="0"/>
                <w:sz w:val="24"/>
              </w:rPr>
            </w:pPr>
            <w:r>
              <w:rPr>
                <w:b w:val="0"/>
                <w:sz w:val="24"/>
              </w:rPr>
              <w:t>7030</w:t>
            </w:r>
          </w:p>
        </w:tc>
        <w:tc>
          <w:tcPr>
            <w:tcW w:w="2636" w:type="dxa"/>
          </w:tcPr>
          <w:p>
            <w:pPr>
              <w:pStyle w:val="TableParagraph"/>
              <w:spacing w:before="66"/>
              <w:ind w:left="191"/>
              <w:rPr>
                <w:b w:val="0"/>
                <w:sz w:val="24"/>
              </w:rPr>
            </w:pPr>
            <w:r>
              <w:rPr>
                <w:b w:val="0"/>
                <w:sz w:val="24"/>
              </w:rPr>
              <w:t>Social Welfare Policy</w:t>
            </w:r>
          </w:p>
        </w:tc>
        <w:tc>
          <w:tcPr>
            <w:tcW w:w="2243" w:type="dxa"/>
          </w:tcPr>
          <w:p>
            <w:pPr>
              <w:pStyle w:val="TableParagraph"/>
              <w:tabs>
                <w:tab w:pos="614" w:val="left" w:leader="none"/>
              </w:tabs>
              <w:spacing w:before="66"/>
              <w:ind w:right="86"/>
              <w:jc w:val="right"/>
              <w:rPr>
                <w:b w:val="0"/>
                <w:sz w:val="24"/>
              </w:rPr>
            </w:pPr>
            <w:r>
              <w:rPr>
                <w:b w:val="0"/>
                <w:sz w:val="24"/>
              </w:rPr>
              <w:t>3</w:t>
              <w:tab/>
            </w:r>
            <w:r>
              <w:rPr>
                <w:b w:val="0"/>
                <w:spacing w:val="-1"/>
                <w:sz w:val="24"/>
              </w:rPr>
              <w:t>Elective</w:t>
            </w:r>
          </w:p>
        </w:tc>
        <w:tc>
          <w:tcPr>
            <w:tcW w:w="2664" w:type="dxa"/>
          </w:tcPr>
          <w:p>
            <w:pPr>
              <w:pStyle w:val="TableParagraph"/>
              <w:spacing w:before="66"/>
              <w:ind w:left="30"/>
              <w:rPr>
                <w:b w:val="0"/>
                <w:sz w:val="24"/>
              </w:rPr>
            </w:pPr>
            <w:r>
              <w:rPr>
                <w:b w:val="0"/>
                <w:sz w:val="24"/>
              </w:rPr>
              <w:t>Elective</w:t>
            </w:r>
          </w:p>
        </w:tc>
        <w:tc>
          <w:tcPr>
            <w:tcW w:w="1352" w:type="dxa"/>
          </w:tcPr>
          <w:p>
            <w:pPr>
              <w:pStyle w:val="TableParagraph"/>
              <w:spacing w:before="66"/>
              <w:ind w:right="372"/>
              <w:jc w:val="right"/>
              <w:rPr>
                <w:b w:val="0"/>
                <w:sz w:val="24"/>
              </w:rPr>
            </w:pPr>
            <w:r>
              <w:rPr>
                <w:b w:val="0"/>
                <w:sz w:val="24"/>
              </w:rPr>
              <w:t>3</w:t>
            </w:r>
          </w:p>
        </w:tc>
      </w:tr>
      <w:tr>
        <w:trPr>
          <w:trHeight w:val="354" w:hRule="atLeast"/>
        </w:trPr>
        <w:tc>
          <w:tcPr>
            <w:tcW w:w="956" w:type="dxa"/>
            <w:shd w:val="clear" w:color="auto" w:fill="E5E5E5"/>
          </w:tcPr>
          <w:p>
            <w:pPr>
              <w:pStyle w:val="TableParagraph"/>
              <w:spacing w:line="271" w:lineRule="exact" w:before="65"/>
              <w:ind w:left="238" w:right="153"/>
              <w:jc w:val="center"/>
              <w:rPr>
                <w:b w:val="0"/>
                <w:sz w:val="24"/>
              </w:rPr>
            </w:pPr>
            <w:r>
              <w:rPr>
                <w:b w:val="0"/>
                <w:sz w:val="24"/>
              </w:rPr>
              <w:t>7051</w:t>
            </w:r>
          </w:p>
        </w:tc>
        <w:tc>
          <w:tcPr>
            <w:tcW w:w="2636" w:type="dxa"/>
            <w:shd w:val="clear" w:color="auto" w:fill="E5E5E5"/>
          </w:tcPr>
          <w:p>
            <w:pPr>
              <w:pStyle w:val="TableParagraph"/>
              <w:spacing w:line="271" w:lineRule="exact" w:before="65"/>
              <w:ind w:left="191"/>
              <w:rPr>
                <w:b w:val="0"/>
                <w:sz w:val="24"/>
              </w:rPr>
            </w:pPr>
            <w:r>
              <w:rPr>
                <w:b w:val="0"/>
                <w:sz w:val="24"/>
              </w:rPr>
              <w:t>Field Placement I</w:t>
            </w:r>
          </w:p>
        </w:tc>
        <w:tc>
          <w:tcPr>
            <w:tcW w:w="2243" w:type="dxa"/>
            <w:shd w:val="clear" w:color="auto" w:fill="E5E5E5"/>
          </w:tcPr>
          <w:p>
            <w:pPr>
              <w:pStyle w:val="TableParagraph"/>
              <w:tabs>
                <w:tab w:pos="1407" w:val="left" w:leader="none"/>
              </w:tabs>
              <w:spacing w:line="271" w:lineRule="exact" w:before="65"/>
              <w:ind w:left="792"/>
              <w:rPr>
                <w:b w:val="0"/>
                <w:sz w:val="24"/>
              </w:rPr>
            </w:pPr>
            <w:r>
              <w:rPr>
                <w:b w:val="0"/>
                <w:sz w:val="24"/>
              </w:rPr>
              <w:t>3</w:t>
              <w:tab/>
              <w:t>7052</w:t>
            </w:r>
          </w:p>
        </w:tc>
        <w:tc>
          <w:tcPr>
            <w:tcW w:w="2664" w:type="dxa"/>
            <w:shd w:val="clear" w:color="auto" w:fill="E5E5E5"/>
          </w:tcPr>
          <w:p>
            <w:pPr>
              <w:pStyle w:val="TableParagraph"/>
              <w:spacing w:line="271" w:lineRule="exact" w:before="65"/>
              <w:ind w:left="30"/>
              <w:rPr>
                <w:b w:val="0"/>
                <w:sz w:val="24"/>
              </w:rPr>
            </w:pPr>
            <w:r>
              <w:rPr>
                <w:b w:val="0"/>
                <w:sz w:val="24"/>
              </w:rPr>
              <w:t>Field Placement II</w:t>
            </w:r>
          </w:p>
        </w:tc>
        <w:tc>
          <w:tcPr>
            <w:tcW w:w="1352" w:type="dxa"/>
            <w:shd w:val="clear" w:color="auto" w:fill="E5E5E5"/>
          </w:tcPr>
          <w:p>
            <w:pPr>
              <w:pStyle w:val="TableParagraph"/>
              <w:spacing w:line="271" w:lineRule="exact" w:before="65"/>
              <w:ind w:right="372"/>
              <w:jc w:val="right"/>
              <w:rPr>
                <w:b w:val="0"/>
                <w:sz w:val="24"/>
              </w:rPr>
            </w:pPr>
            <w:r>
              <w:rPr>
                <w:b w:val="0"/>
                <w:sz w:val="24"/>
              </w:rPr>
              <w:t>3</w:t>
            </w:r>
          </w:p>
        </w:tc>
      </w:tr>
      <w:tr>
        <w:trPr>
          <w:trHeight w:val="508" w:hRule="atLeast"/>
        </w:trPr>
        <w:tc>
          <w:tcPr>
            <w:tcW w:w="9851" w:type="dxa"/>
            <w:gridSpan w:val="5"/>
            <w:shd w:val="clear" w:color="auto" w:fill="44546A"/>
          </w:tcPr>
          <w:p>
            <w:pPr>
              <w:pStyle w:val="TableParagraph"/>
              <w:spacing w:before="141"/>
              <w:ind w:left="4497" w:right="4498"/>
              <w:jc w:val="center"/>
              <w:rPr>
                <w:b w:val="0"/>
                <w:sz w:val="24"/>
              </w:rPr>
            </w:pPr>
            <w:r>
              <w:rPr>
                <w:b w:val="0"/>
                <w:color w:val="FFFFFF"/>
                <w:sz w:val="24"/>
              </w:rPr>
              <w:t>Summer</w:t>
            </w:r>
          </w:p>
        </w:tc>
      </w:tr>
    </w:tbl>
    <w:p>
      <w:pPr>
        <w:pStyle w:val="BodyText"/>
        <w:tabs>
          <w:tab w:pos="2039" w:val="left" w:leader="none"/>
          <w:tab w:pos="5279" w:val="left" w:leader="none"/>
          <w:tab w:pos="5762" w:val="left" w:leader="none"/>
          <w:tab w:pos="6760" w:val="left" w:leader="none"/>
          <w:tab w:pos="10367" w:val="right" w:leader="none"/>
        </w:tabs>
        <w:spacing w:before="66"/>
        <w:ind w:left="1039"/>
        <w:rPr>
          <w:rFonts w:ascii="Calibri Light"/>
          <w:b w:val="0"/>
        </w:rPr>
      </w:pPr>
      <w:r>
        <w:rPr>
          <w:rFonts w:ascii="Calibri Light"/>
          <w:b w:val="0"/>
        </w:rPr>
        <w:t>Elective</w:t>
        <w:tab/>
        <w:t>Elective</w:t>
        <w:tab/>
        <w:t>3</w:t>
        <w:tab/>
        <w:t>Elective</w:t>
        <w:tab/>
        <w:t>Elective</w:t>
        <w:tab/>
        <w:t>3</w:t>
      </w:r>
    </w:p>
    <w:p>
      <w:pPr>
        <w:pStyle w:val="BodyText"/>
        <w:spacing w:before="430"/>
        <w:ind w:left="3781" w:right="2905"/>
        <w:jc w:val="center"/>
        <w:rPr>
          <w:rFonts w:ascii="Calibri Light"/>
          <w:b w:val="0"/>
        </w:rPr>
      </w:pPr>
      <w:r>
        <w:rPr/>
        <w:pict>
          <v:shape style="position:absolute;margin-left:59.639999pt;margin-top:36.285767pt;width:492.75pt;height:14.55pt;mso-position-horizontal-relative:page;mso-position-vertical-relative:paragraph;z-index:1240" type="#_x0000_t202" filled="true" fillcolor="#44546a" stroked="false">
            <v:textbox inset="0,0,0,0">
              <w:txbxContent>
                <w:p>
                  <w:pPr>
                    <w:pStyle w:val="BodyText"/>
                    <w:tabs>
                      <w:tab w:pos="6931" w:val="left" w:leader="none"/>
                    </w:tabs>
                    <w:spacing w:line="286" w:lineRule="exact" w:before="4"/>
                    <w:ind w:left="2143"/>
                    <w:rPr>
                      <w:rFonts w:ascii="Calibri Light"/>
                      <w:b w:val="0"/>
                    </w:rPr>
                  </w:pPr>
                  <w:r>
                    <w:rPr>
                      <w:rFonts w:ascii="Calibri Light"/>
                      <w:b w:val="0"/>
                      <w:color w:val="FFFFFF"/>
                    </w:rPr>
                    <w:t>FALL</w:t>
                    <w:tab/>
                    <w:t>SPRING</w:t>
                  </w:r>
                </w:p>
              </w:txbxContent>
            </v:textbox>
            <v:fill type="solid"/>
            <w10:wrap type="none"/>
          </v:shape>
        </w:pict>
      </w:r>
      <w:r>
        <w:rPr>
          <w:rFonts w:ascii="Calibri Light"/>
          <w:b w:val="0"/>
        </w:rPr>
        <w:t>Year 3 Concentration*</w:t>
      </w:r>
    </w:p>
    <w:p>
      <w:pPr>
        <w:spacing w:after="0"/>
        <w:jc w:val="center"/>
        <w:rPr>
          <w:rFonts w:ascii="Calibri Light"/>
        </w:rPr>
        <w:sectPr>
          <w:pgSz w:w="12240" w:h="15840"/>
          <w:pgMar w:header="0" w:footer="3028" w:top="1420" w:bottom="3220" w:left="300" w:right="920"/>
        </w:sectPr>
      </w:pPr>
    </w:p>
    <w:p>
      <w:pPr>
        <w:pStyle w:val="BodyText"/>
        <w:spacing w:before="372"/>
        <w:jc w:val="right"/>
        <w:rPr>
          <w:rFonts w:ascii="Calibri Light"/>
          <w:b w:val="0"/>
        </w:rPr>
      </w:pPr>
      <w:r>
        <w:rPr/>
        <w:pict>
          <v:shape style="position:absolute;margin-left:59.639999pt;margin-top:33.265778pt;width:492.75pt;height:42.85pt;mso-position-horizontal-relative:page;mso-position-vertical-relative:paragraph;z-index:12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6"/>
                    <w:gridCol w:w="3141"/>
                    <w:gridCol w:w="684"/>
                    <w:gridCol w:w="895"/>
                    <w:gridCol w:w="3330"/>
                    <w:gridCol w:w="846"/>
                  </w:tblGrid>
                  <w:tr>
                    <w:trPr>
                      <w:trHeight w:val="338" w:hRule="atLeast"/>
                    </w:trPr>
                    <w:tc>
                      <w:tcPr>
                        <w:tcW w:w="956" w:type="dxa"/>
                      </w:tcPr>
                      <w:p>
                        <w:pPr>
                          <w:pStyle w:val="TableParagraph"/>
                          <w:spacing w:line="244" w:lineRule="exact"/>
                          <w:ind w:left="219" w:right="172"/>
                          <w:jc w:val="center"/>
                          <w:rPr>
                            <w:b w:val="0"/>
                            <w:sz w:val="24"/>
                          </w:rPr>
                        </w:pPr>
                        <w:r>
                          <w:rPr>
                            <w:b w:val="0"/>
                            <w:sz w:val="24"/>
                          </w:rPr>
                          <w:t>7016</w:t>
                        </w:r>
                      </w:p>
                    </w:tc>
                    <w:tc>
                      <w:tcPr>
                        <w:tcW w:w="3141" w:type="dxa"/>
                      </w:tcPr>
                      <w:p>
                        <w:pPr>
                          <w:pStyle w:val="TableParagraph"/>
                          <w:spacing w:line="244" w:lineRule="exact"/>
                          <w:ind w:left="191"/>
                          <w:rPr>
                            <w:b w:val="0"/>
                            <w:sz w:val="24"/>
                          </w:rPr>
                        </w:pPr>
                        <w:r>
                          <w:rPr>
                            <w:b w:val="0"/>
                            <w:sz w:val="24"/>
                          </w:rPr>
                          <w:t>Adv. Individual Child/Youth</w:t>
                        </w:r>
                      </w:p>
                    </w:tc>
                    <w:tc>
                      <w:tcPr>
                        <w:tcW w:w="684" w:type="dxa"/>
                      </w:tcPr>
                      <w:p>
                        <w:pPr>
                          <w:pStyle w:val="TableParagraph"/>
                          <w:rPr>
                            <w:rFonts w:ascii="Times New Roman"/>
                            <w:sz w:val="22"/>
                          </w:rPr>
                        </w:pPr>
                      </w:p>
                    </w:tc>
                    <w:tc>
                      <w:tcPr>
                        <w:tcW w:w="895" w:type="dxa"/>
                      </w:tcPr>
                      <w:p>
                        <w:pPr>
                          <w:pStyle w:val="TableParagraph"/>
                          <w:spacing w:line="244" w:lineRule="exact"/>
                          <w:ind w:left="199" w:right="168"/>
                          <w:jc w:val="center"/>
                          <w:rPr>
                            <w:b w:val="0"/>
                            <w:sz w:val="24"/>
                          </w:rPr>
                        </w:pPr>
                        <w:r>
                          <w:rPr>
                            <w:b w:val="0"/>
                            <w:sz w:val="24"/>
                          </w:rPr>
                          <w:t>7032</w:t>
                        </w:r>
                      </w:p>
                    </w:tc>
                    <w:tc>
                      <w:tcPr>
                        <w:tcW w:w="3330" w:type="dxa"/>
                      </w:tcPr>
                      <w:p>
                        <w:pPr>
                          <w:pStyle w:val="TableParagraph"/>
                          <w:spacing w:line="244" w:lineRule="exact"/>
                          <w:ind w:left="192"/>
                          <w:rPr>
                            <w:b w:val="0"/>
                            <w:sz w:val="24"/>
                          </w:rPr>
                        </w:pPr>
                        <w:r>
                          <w:rPr>
                            <w:b w:val="0"/>
                            <w:sz w:val="24"/>
                          </w:rPr>
                          <w:t>Adv. Community Child/Youth</w:t>
                        </w:r>
                      </w:p>
                    </w:tc>
                    <w:tc>
                      <w:tcPr>
                        <w:tcW w:w="846" w:type="dxa"/>
                      </w:tcPr>
                      <w:p>
                        <w:pPr>
                          <w:pStyle w:val="TableParagraph"/>
                          <w:rPr>
                            <w:rFonts w:ascii="Times New Roman"/>
                            <w:sz w:val="22"/>
                          </w:rPr>
                        </w:pPr>
                      </w:p>
                    </w:tc>
                  </w:tr>
                  <w:tr>
                    <w:trPr>
                      <w:trHeight w:val="518" w:hRule="atLeast"/>
                    </w:trPr>
                    <w:tc>
                      <w:tcPr>
                        <w:tcW w:w="956" w:type="dxa"/>
                        <w:shd w:val="clear" w:color="auto" w:fill="DADADA"/>
                      </w:tcPr>
                      <w:p>
                        <w:pPr>
                          <w:pStyle w:val="TableParagraph"/>
                          <w:spacing w:before="112"/>
                          <w:ind w:left="238" w:right="153"/>
                          <w:jc w:val="center"/>
                          <w:rPr>
                            <w:b w:val="0"/>
                            <w:sz w:val="24"/>
                          </w:rPr>
                        </w:pPr>
                        <w:r>
                          <w:rPr>
                            <w:b w:val="0"/>
                            <w:sz w:val="24"/>
                          </w:rPr>
                          <w:t>7025</w:t>
                        </w:r>
                      </w:p>
                    </w:tc>
                    <w:tc>
                      <w:tcPr>
                        <w:tcW w:w="3141" w:type="dxa"/>
                        <w:shd w:val="clear" w:color="auto" w:fill="DADADA"/>
                      </w:tcPr>
                      <w:p>
                        <w:pPr>
                          <w:pStyle w:val="TableParagraph"/>
                          <w:spacing w:before="112"/>
                          <w:ind w:left="191"/>
                          <w:rPr>
                            <w:b w:val="0"/>
                            <w:sz w:val="24"/>
                          </w:rPr>
                        </w:pPr>
                        <w:r>
                          <w:rPr>
                            <w:b w:val="0"/>
                            <w:sz w:val="24"/>
                          </w:rPr>
                          <w:t>Research Methods</w:t>
                        </w:r>
                      </w:p>
                    </w:tc>
                    <w:tc>
                      <w:tcPr>
                        <w:tcW w:w="684" w:type="dxa"/>
                        <w:shd w:val="clear" w:color="auto" w:fill="DADADA"/>
                      </w:tcPr>
                      <w:p>
                        <w:pPr>
                          <w:pStyle w:val="TableParagraph"/>
                          <w:spacing w:before="112"/>
                          <w:ind w:left="347"/>
                          <w:rPr>
                            <w:b w:val="0"/>
                            <w:sz w:val="24"/>
                          </w:rPr>
                        </w:pPr>
                        <w:r>
                          <w:rPr>
                            <w:b w:val="0"/>
                            <w:sz w:val="24"/>
                          </w:rPr>
                          <w:t>3</w:t>
                        </w:r>
                      </w:p>
                    </w:tc>
                    <w:tc>
                      <w:tcPr>
                        <w:tcW w:w="895" w:type="dxa"/>
                        <w:shd w:val="clear" w:color="auto" w:fill="DADADA"/>
                      </w:tcPr>
                      <w:p>
                        <w:pPr>
                          <w:pStyle w:val="TableParagraph"/>
                          <w:spacing w:before="112"/>
                          <w:ind w:left="199" w:right="168"/>
                          <w:jc w:val="center"/>
                          <w:rPr>
                            <w:b w:val="0"/>
                            <w:sz w:val="24"/>
                          </w:rPr>
                        </w:pPr>
                        <w:r>
                          <w:rPr>
                            <w:b w:val="0"/>
                            <w:sz w:val="24"/>
                          </w:rPr>
                          <w:t>7026</w:t>
                        </w:r>
                      </w:p>
                    </w:tc>
                    <w:tc>
                      <w:tcPr>
                        <w:tcW w:w="3330" w:type="dxa"/>
                        <w:shd w:val="clear" w:color="auto" w:fill="DADADA"/>
                      </w:tcPr>
                      <w:p>
                        <w:pPr>
                          <w:pStyle w:val="TableParagraph"/>
                          <w:spacing w:before="112"/>
                          <w:ind w:left="192"/>
                          <w:rPr>
                            <w:b w:val="0"/>
                            <w:sz w:val="24"/>
                          </w:rPr>
                        </w:pPr>
                        <w:r>
                          <w:rPr>
                            <w:b w:val="0"/>
                            <w:sz w:val="24"/>
                          </w:rPr>
                          <w:t>Evaluative Research</w:t>
                        </w:r>
                      </w:p>
                    </w:tc>
                    <w:tc>
                      <w:tcPr>
                        <w:tcW w:w="846" w:type="dxa"/>
                        <w:shd w:val="clear" w:color="auto" w:fill="DADADA"/>
                      </w:tcPr>
                      <w:p>
                        <w:pPr>
                          <w:pStyle w:val="TableParagraph"/>
                          <w:spacing w:before="112"/>
                          <w:ind w:right="19"/>
                          <w:jc w:val="center"/>
                          <w:rPr>
                            <w:b w:val="0"/>
                            <w:sz w:val="24"/>
                          </w:rPr>
                        </w:pPr>
                        <w:r>
                          <w:rPr>
                            <w:b w:val="0"/>
                            <w:sz w:val="24"/>
                          </w:rPr>
                          <w:t>3</w:t>
                        </w:r>
                      </w:p>
                    </w:tc>
                  </w:tr>
                </w:tbl>
                <w:p>
                  <w:pPr>
                    <w:pStyle w:val="BodyText"/>
                  </w:pPr>
                </w:p>
              </w:txbxContent>
            </v:textbox>
            <w10:wrap type="none"/>
          </v:shape>
        </w:pict>
      </w:r>
      <w:r>
        <w:rPr>
          <w:rFonts w:ascii="Calibri Light"/>
          <w:b w:val="0"/>
        </w:rPr>
        <w:t>7018</w:t>
      </w:r>
    </w:p>
    <w:p>
      <w:pPr>
        <w:pStyle w:val="BodyText"/>
        <w:spacing w:before="372"/>
        <w:ind w:left="360"/>
        <w:rPr>
          <w:rFonts w:ascii="Calibri Light"/>
          <w:b w:val="0"/>
        </w:rPr>
      </w:pPr>
      <w:r>
        <w:rPr/>
        <w:br w:type="column"/>
      </w:r>
      <w:r>
        <w:rPr>
          <w:rFonts w:ascii="Calibri Light"/>
          <w:b w:val="0"/>
        </w:rPr>
        <w:t>Adv. Individual Adults </w:t>
      </w:r>
      <w:r>
        <w:rPr>
          <w:rFonts w:ascii="Calibri Light"/>
          <w:b w:val="0"/>
          <w:spacing w:val="-7"/>
        </w:rPr>
        <w:t>or</w:t>
      </w:r>
    </w:p>
    <w:p>
      <w:pPr>
        <w:pStyle w:val="BodyText"/>
        <w:tabs>
          <w:tab w:pos="1475" w:val="left" w:leader="none"/>
        </w:tabs>
        <w:spacing w:before="372"/>
        <w:ind w:left="864"/>
        <w:rPr>
          <w:rFonts w:ascii="Calibri Light"/>
          <w:b w:val="0"/>
        </w:rPr>
      </w:pPr>
      <w:r>
        <w:rPr/>
        <w:br w:type="column"/>
      </w:r>
      <w:r>
        <w:rPr>
          <w:rFonts w:ascii="Calibri Light"/>
          <w:b w:val="0"/>
          <w:position w:val="-11"/>
        </w:rPr>
        <w:t>3</w:t>
        <w:tab/>
      </w:r>
      <w:r>
        <w:rPr>
          <w:rFonts w:ascii="Calibri Light"/>
          <w:b w:val="0"/>
          <w:spacing w:val="-4"/>
        </w:rPr>
        <w:t>7033</w:t>
      </w:r>
    </w:p>
    <w:p>
      <w:pPr>
        <w:pStyle w:val="BodyText"/>
        <w:tabs>
          <w:tab w:pos="3950" w:val="right" w:leader="none"/>
        </w:tabs>
        <w:spacing w:before="372"/>
        <w:ind w:left="339"/>
        <w:rPr>
          <w:rFonts w:ascii="Calibri Light"/>
          <w:b w:val="0"/>
        </w:rPr>
      </w:pPr>
      <w:r>
        <w:rPr/>
        <w:br w:type="column"/>
      </w:r>
      <w:r>
        <w:rPr>
          <w:rFonts w:ascii="Calibri Light"/>
          <w:b w:val="0"/>
        </w:rPr>
        <w:t>Adv. Community</w:t>
      </w:r>
      <w:r>
        <w:rPr>
          <w:rFonts w:ascii="Calibri Light"/>
          <w:b w:val="0"/>
          <w:spacing w:val="-2"/>
        </w:rPr>
        <w:t> </w:t>
      </w:r>
      <w:r>
        <w:rPr>
          <w:rFonts w:ascii="Calibri Light"/>
          <w:b w:val="0"/>
        </w:rPr>
        <w:t>Adults</w:t>
      </w:r>
      <w:r>
        <w:rPr>
          <w:rFonts w:ascii="Calibri Light"/>
          <w:b w:val="0"/>
          <w:spacing w:val="-1"/>
        </w:rPr>
        <w:t> </w:t>
      </w:r>
      <w:r>
        <w:rPr>
          <w:rFonts w:ascii="Calibri Light"/>
          <w:b w:val="0"/>
          <w:spacing w:val="-3"/>
        </w:rPr>
        <w:t>or</w:t>
        <w:tab/>
      </w:r>
      <w:r>
        <w:rPr>
          <w:rFonts w:ascii="Calibri Light"/>
          <w:b w:val="0"/>
          <w:position w:val="-11"/>
        </w:rPr>
        <w:t>3</w:t>
      </w:r>
    </w:p>
    <w:p>
      <w:pPr>
        <w:spacing w:after="0"/>
        <w:rPr>
          <w:rFonts w:ascii="Calibri Light"/>
        </w:rPr>
        <w:sectPr>
          <w:type w:val="continuous"/>
          <w:pgSz w:w="12240" w:h="15840"/>
          <w:pgMar w:top="1500" w:bottom="280" w:left="300" w:right="920"/>
          <w:cols w:num="4" w:equalWidth="0">
            <w:col w:w="1640" w:space="40"/>
            <w:col w:w="2697" w:space="39"/>
            <w:col w:w="1966" w:space="39"/>
            <w:col w:w="4599"/>
          </w:cols>
        </w:sectPr>
      </w:pPr>
    </w:p>
    <w:p>
      <w:pPr>
        <w:pStyle w:val="BodyText"/>
        <w:rPr>
          <w:rFonts w:ascii="Calibri Light"/>
          <w:b w:val="0"/>
        </w:rPr>
      </w:pPr>
    </w:p>
    <w:p>
      <w:pPr>
        <w:pStyle w:val="BodyText"/>
        <w:rPr>
          <w:rFonts w:ascii="Calibri Light"/>
          <w:b w:val="0"/>
        </w:rPr>
      </w:pPr>
    </w:p>
    <w:p>
      <w:pPr>
        <w:pStyle w:val="BodyText"/>
        <w:rPr>
          <w:rFonts w:ascii="Calibri Light"/>
          <w:b w:val="0"/>
        </w:rPr>
      </w:pPr>
    </w:p>
    <w:p>
      <w:pPr>
        <w:pStyle w:val="BodyText"/>
        <w:spacing w:before="5"/>
        <w:rPr>
          <w:rFonts w:ascii="Calibri Light"/>
          <w:b w:val="0"/>
          <w:sz w:val="29"/>
        </w:rPr>
      </w:pPr>
    </w:p>
    <w:p>
      <w:pPr>
        <w:pStyle w:val="BodyText"/>
        <w:ind w:left="3756" w:right="3139"/>
        <w:jc w:val="center"/>
        <w:rPr>
          <w:rFonts w:ascii="Calibri Light"/>
          <w:b w:val="0"/>
        </w:rPr>
      </w:pPr>
      <w:r>
        <w:rPr/>
        <w:pict>
          <v:shape style="position:absolute;margin-left:59.650002pt;margin-top:18.14378pt;width:492.75pt;height:21.6pt;mso-position-horizontal-relative:page;mso-position-vertical-relative:paragraph;z-index:-832;mso-wrap-distance-left:0;mso-wrap-distance-right:0" type="#_x0000_t202" filled="true" fillcolor="#44546a" stroked="false">
            <v:textbox inset="0,0,0,0">
              <w:txbxContent>
                <w:p>
                  <w:pPr>
                    <w:pStyle w:val="BodyText"/>
                    <w:tabs>
                      <w:tab w:pos="7204" w:val="left" w:leader="none"/>
                    </w:tabs>
                    <w:spacing w:before="69"/>
                    <w:ind w:left="2495"/>
                    <w:rPr>
                      <w:rFonts w:ascii="Calibri Light"/>
                      <w:b w:val="0"/>
                    </w:rPr>
                  </w:pPr>
                  <w:r>
                    <w:rPr>
                      <w:rFonts w:ascii="Calibri Light"/>
                      <w:b w:val="0"/>
                      <w:color w:val="FFFFFF"/>
                    </w:rPr>
                    <w:t>Fall</w:t>
                    <w:tab/>
                  </w:r>
                  <w:r>
                    <w:rPr>
                      <w:rFonts w:ascii="Calibri Light"/>
                      <w:b w:val="0"/>
                      <w:color w:val="FFFFFF"/>
                      <w:spacing w:val="-3"/>
                    </w:rPr>
                    <w:t>Spring</w:t>
                  </w:r>
                </w:p>
              </w:txbxContent>
            </v:textbox>
            <v:fill type="solid"/>
            <w10:wrap type="topAndBottom"/>
          </v:shape>
        </w:pict>
      </w:r>
      <w:r>
        <w:rPr>
          <w:rFonts w:ascii="Calibri Light"/>
          <w:b w:val="0"/>
        </w:rPr>
        <w:t>Year 4 Concentration</w:t>
      </w:r>
    </w:p>
    <w:p>
      <w:pPr>
        <w:pStyle w:val="BodyText"/>
        <w:spacing w:before="4" w:after="1"/>
        <w:rPr>
          <w:rFonts w:ascii="Calibri Light"/>
          <w:b w:val="0"/>
          <w:sz w:val="8"/>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6"/>
        <w:gridCol w:w="2812"/>
        <w:gridCol w:w="985"/>
        <w:gridCol w:w="923"/>
        <w:gridCol w:w="2966"/>
        <w:gridCol w:w="1212"/>
      </w:tblGrid>
      <w:tr>
        <w:trPr>
          <w:trHeight w:val="300" w:hRule="atLeast"/>
        </w:trPr>
        <w:tc>
          <w:tcPr>
            <w:tcW w:w="956" w:type="dxa"/>
          </w:tcPr>
          <w:p>
            <w:pPr>
              <w:pStyle w:val="TableParagraph"/>
              <w:spacing w:line="244" w:lineRule="exact"/>
              <w:ind w:left="238" w:right="153"/>
              <w:jc w:val="center"/>
              <w:rPr>
                <w:b w:val="0"/>
                <w:sz w:val="24"/>
              </w:rPr>
            </w:pPr>
            <w:r>
              <w:rPr>
                <w:b w:val="0"/>
                <w:sz w:val="24"/>
              </w:rPr>
              <w:t>7053</w:t>
            </w:r>
          </w:p>
        </w:tc>
        <w:tc>
          <w:tcPr>
            <w:tcW w:w="2812" w:type="dxa"/>
          </w:tcPr>
          <w:p>
            <w:pPr>
              <w:pStyle w:val="TableParagraph"/>
              <w:spacing w:line="244" w:lineRule="exact"/>
              <w:ind w:left="191"/>
              <w:rPr>
                <w:b w:val="0"/>
                <w:sz w:val="24"/>
              </w:rPr>
            </w:pPr>
            <w:r>
              <w:rPr>
                <w:b w:val="0"/>
                <w:sz w:val="24"/>
              </w:rPr>
              <w:t>Field Placement III</w:t>
            </w:r>
          </w:p>
        </w:tc>
        <w:tc>
          <w:tcPr>
            <w:tcW w:w="985" w:type="dxa"/>
          </w:tcPr>
          <w:p>
            <w:pPr>
              <w:pStyle w:val="TableParagraph"/>
              <w:spacing w:line="244" w:lineRule="exact"/>
              <w:ind w:right="239"/>
              <w:jc w:val="right"/>
              <w:rPr>
                <w:b w:val="0"/>
                <w:sz w:val="24"/>
              </w:rPr>
            </w:pPr>
            <w:r>
              <w:rPr>
                <w:b w:val="0"/>
                <w:sz w:val="24"/>
              </w:rPr>
              <w:t>3</w:t>
            </w:r>
          </w:p>
        </w:tc>
        <w:tc>
          <w:tcPr>
            <w:tcW w:w="923" w:type="dxa"/>
          </w:tcPr>
          <w:p>
            <w:pPr>
              <w:pStyle w:val="TableParagraph"/>
              <w:spacing w:line="244" w:lineRule="exact"/>
              <w:ind w:left="225" w:right="171"/>
              <w:jc w:val="center"/>
              <w:rPr>
                <w:b w:val="0"/>
                <w:sz w:val="24"/>
              </w:rPr>
            </w:pPr>
            <w:r>
              <w:rPr>
                <w:b w:val="0"/>
                <w:sz w:val="24"/>
              </w:rPr>
              <w:t>7054</w:t>
            </w:r>
          </w:p>
        </w:tc>
        <w:tc>
          <w:tcPr>
            <w:tcW w:w="2966" w:type="dxa"/>
          </w:tcPr>
          <w:p>
            <w:pPr>
              <w:pStyle w:val="TableParagraph"/>
              <w:spacing w:line="244" w:lineRule="exact"/>
              <w:ind w:left="192"/>
              <w:rPr>
                <w:b w:val="0"/>
                <w:sz w:val="24"/>
              </w:rPr>
            </w:pPr>
            <w:r>
              <w:rPr>
                <w:b w:val="0"/>
                <w:sz w:val="24"/>
              </w:rPr>
              <w:t>Field Placement IV</w:t>
            </w:r>
          </w:p>
        </w:tc>
        <w:tc>
          <w:tcPr>
            <w:tcW w:w="1212" w:type="dxa"/>
          </w:tcPr>
          <w:p>
            <w:pPr>
              <w:pStyle w:val="TableParagraph"/>
              <w:spacing w:line="244" w:lineRule="exact"/>
              <w:ind w:right="372"/>
              <w:jc w:val="right"/>
              <w:rPr>
                <w:b w:val="0"/>
                <w:sz w:val="24"/>
              </w:rPr>
            </w:pPr>
            <w:r>
              <w:rPr>
                <w:b w:val="0"/>
                <w:sz w:val="24"/>
              </w:rPr>
              <w:t>3</w:t>
            </w:r>
          </w:p>
        </w:tc>
      </w:tr>
      <w:tr>
        <w:trPr>
          <w:trHeight w:val="432" w:hRule="atLeast"/>
        </w:trPr>
        <w:tc>
          <w:tcPr>
            <w:tcW w:w="956" w:type="dxa"/>
            <w:shd w:val="clear" w:color="auto" w:fill="DADADA"/>
          </w:tcPr>
          <w:p>
            <w:pPr>
              <w:pStyle w:val="TableParagraph"/>
              <w:spacing w:before="66"/>
              <w:ind w:left="238" w:right="153"/>
              <w:jc w:val="center"/>
              <w:rPr>
                <w:b w:val="0"/>
                <w:sz w:val="24"/>
              </w:rPr>
            </w:pPr>
            <w:r>
              <w:rPr>
                <w:b w:val="0"/>
                <w:sz w:val="24"/>
              </w:rPr>
              <w:t>7055</w:t>
            </w:r>
          </w:p>
        </w:tc>
        <w:tc>
          <w:tcPr>
            <w:tcW w:w="2812" w:type="dxa"/>
            <w:shd w:val="clear" w:color="auto" w:fill="DADADA"/>
          </w:tcPr>
          <w:p>
            <w:pPr>
              <w:pStyle w:val="TableParagraph"/>
              <w:spacing w:before="66"/>
              <w:ind w:left="191"/>
              <w:rPr>
                <w:b w:val="0"/>
                <w:sz w:val="24"/>
              </w:rPr>
            </w:pPr>
            <w:r>
              <w:rPr>
                <w:b w:val="0"/>
                <w:sz w:val="24"/>
              </w:rPr>
              <w:t>Integrative Seminar I</w:t>
            </w:r>
          </w:p>
        </w:tc>
        <w:tc>
          <w:tcPr>
            <w:tcW w:w="985" w:type="dxa"/>
            <w:shd w:val="clear" w:color="auto" w:fill="DADADA"/>
          </w:tcPr>
          <w:p>
            <w:pPr>
              <w:pStyle w:val="TableParagraph"/>
              <w:spacing w:before="66"/>
              <w:ind w:right="239"/>
              <w:jc w:val="right"/>
              <w:rPr>
                <w:b w:val="0"/>
                <w:sz w:val="24"/>
              </w:rPr>
            </w:pPr>
            <w:r>
              <w:rPr>
                <w:b w:val="0"/>
                <w:sz w:val="24"/>
              </w:rPr>
              <w:t>3</w:t>
            </w:r>
          </w:p>
        </w:tc>
        <w:tc>
          <w:tcPr>
            <w:tcW w:w="923" w:type="dxa"/>
            <w:shd w:val="clear" w:color="auto" w:fill="DADADA"/>
          </w:tcPr>
          <w:p>
            <w:pPr>
              <w:pStyle w:val="TableParagraph"/>
              <w:spacing w:before="66"/>
              <w:ind w:left="225" w:right="171"/>
              <w:jc w:val="center"/>
              <w:rPr>
                <w:b w:val="0"/>
                <w:sz w:val="24"/>
              </w:rPr>
            </w:pPr>
            <w:r>
              <w:rPr>
                <w:b w:val="0"/>
                <w:sz w:val="24"/>
              </w:rPr>
              <w:t>7056</w:t>
            </w:r>
          </w:p>
        </w:tc>
        <w:tc>
          <w:tcPr>
            <w:tcW w:w="2966" w:type="dxa"/>
            <w:shd w:val="clear" w:color="auto" w:fill="DADADA"/>
          </w:tcPr>
          <w:p>
            <w:pPr>
              <w:pStyle w:val="TableParagraph"/>
              <w:spacing w:before="66"/>
              <w:ind w:left="192"/>
              <w:rPr>
                <w:b w:val="0"/>
                <w:sz w:val="24"/>
              </w:rPr>
            </w:pPr>
            <w:r>
              <w:rPr>
                <w:b w:val="0"/>
                <w:sz w:val="24"/>
              </w:rPr>
              <w:t>Integrative Seminar II</w:t>
            </w:r>
          </w:p>
        </w:tc>
        <w:tc>
          <w:tcPr>
            <w:tcW w:w="1212" w:type="dxa"/>
            <w:shd w:val="clear" w:color="auto" w:fill="DADADA"/>
          </w:tcPr>
          <w:p>
            <w:pPr>
              <w:pStyle w:val="TableParagraph"/>
              <w:spacing w:before="66"/>
              <w:ind w:right="372"/>
              <w:jc w:val="right"/>
              <w:rPr>
                <w:b w:val="0"/>
                <w:sz w:val="24"/>
              </w:rPr>
            </w:pPr>
            <w:r>
              <w:rPr>
                <w:b w:val="0"/>
                <w:sz w:val="24"/>
              </w:rPr>
              <w:t>3</w:t>
            </w:r>
          </w:p>
        </w:tc>
      </w:tr>
    </w:tbl>
    <w:p>
      <w:pPr>
        <w:spacing w:after="0"/>
        <w:jc w:val="right"/>
        <w:rPr>
          <w:sz w:val="24"/>
        </w:rPr>
        <w:sectPr>
          <w:type w:val="continuous"/>
          <w:pgSz w:w="12240" w:h="15840"/>
          <w:pgMar w:top="1500" w:bottom="280" w:left="300" w:right="920"/>
        </w:sectPr>
      </w:pPr>
    </w:p>
    <w:p>
      <w:pPr>
        <w:pStyle w:val="BodyText"/>
        <w:spacing w:before="37"/>
        <w:ind w:left="3021" w:right="2407"/>
        <w:jc w:val="center"/>
        <w:rPr>
          <w:rFonts w:ascii="Calibri Light"/>
          <w:b w:val="0"/>
        </w:rPr>
      </w:pPr>
      <w:r>
        <w:rPr>
          <w:rFonts w:ascii="Calibri Light"/>
          <w:b w:val="0"/>
        </w:rPr>
        <w:t>MSW Program of Study, 2.5-year, Spring Start</w:t>
      </w:r>
    </w:p>
    <w:p>
      <w:pPr>
        <w:pStyle w:val="BodyText"/>
        <w:spacing w:before="7"/>
        <w:rPr>
          <w:rFonts w:ascii="Calibri Light"/>
          <w:b w:val="0"/>
          <w:sz w:val="22"/>
        </w:rPr>
      </w:pPr>
    </w:p>
    <w:p>
      <w:pPr>
        <w:pStyle w:val="BodyText"/>
        <w:ind w:left="3758" w:right="3139"/>
        <w:jc w:val="center"/>
        <w:rPr>
          <w:rFonts w:ascii="Calibri Light"/>
          <w:b w:val="0"/>
        </w:rPr>
      </w:pPr>
      <w:r>
        <w:rPr>
          <w:rFonts w:ascii="Calibri Light"/>
          <w:b w:val="0"/>
        </w:rPr>
        <w:t>Year 1 Foundation</w:t>
      </w:r>
    </w:p>
    <w:p>
      <w:pPr>
        <w:pStyle w:val="BodyText"/>
        <w:tabs>
          <w:tab w:pos="7558" w:val="left" w:leader="none"/>
          <w:tab w:pos="10474" w:val="left" w:leader="none"/>
        </w:tabs>
        <w:ind w:left="620"/>
        <w:jc w:val="center"/>
        <w:rPr>
          <w:rFonts w:ascii="Calibri Light"/>
          <w:b w:val="0"/>
        </w:rPr>
      </w:pPr>
      <w:r>
        <w:rPr>
          <w:rFonts w:ascii="Times New Roman"/>
          <w:color w:val="FFFFFF"/>
          <w:shd w:fill="44546A" w:color="auto" w:val="clear"/>
        </w:rPr>
        <w:t> </w:t>
        <w:tab/>
      </w:r>
      <w:r>
        <w:rPr>
          <w:rFonts w:ascii="Calibri Light"/>
          <w:b w:val="0"/>
          <w:color w:val="FFFFFF"/>
          <w:spacing w:val="-3"/>
          <w:shd w:fill="44546A" w:color="auto" w:val="clear"/>
        </w:rPr>
        <w:t>SPRING</w:t>
        <w:tab/>
      </w:r>
    </w:p>
    <w:p>
      <w:pPr>
        <w:pStyle w:val="BodyText"/>
        <w:rPr>
          <w:rFonts w:ascii="Calibri Light"/>
          <w:b w:val="0"/>
          <w:sz w:val="11"/>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96"/>
        <w:gridCol w:w="3058"/>
        <w:gridCol w:w="1098"/>
      </w:tblGrid>
      <w:tr>
        <w:trPr>
          <w:trHeight w:val="299" w:hRule="atLeast"/>
        </w:trPr>
        <w:tc>
          <w:tcPr>
            <w:tcW w:w="5696" w:type="dxa"/>
          </w:tcPr>
          <w:p>
            <w:pPr>
              <w:pStyle w:val="TableParagraph"/>
              <w:spacing w:line="244" w:lineRule="exact"/>
              <w:ind w:right="219"/>
              <w:jc w:val="right"/>
              <w:rPr>
                <w:b w:val="0"/>
                <w:sz w:val="24"/>
              </w:rPr>
            </w:pPr>
            <w:r>
              <w:rPr>
                <w:b w:val="0"/>
                <w:sz w:val="24"/>
              </w:rPr>
              <w:t>7001</w:t>
            </w:r>
          </w:p>
        </w:tc>
        <w:tc>
          <w:tcPr>
            <w:tcW w:w="3058" w:type="dxa"/>
          </w:tcPr>
          <w:p>
            <w:pPr>
              <w:pStyle w:val="TableParagraph"/>
              <w:spacing w:line="244" w:lineRule="exact"/>
              <w:ind w:left="222"/>
              <w:rPr>
                <w:b w:val="0"/>
                <w:sz w:val="24"/>
              </w:rPr>
            </w:pPr>
            <w:r>
              <w:rPr>
                <w:b w:val="0"/>
                <w:sz w:val="24"/>
              </w:rPr>
              <w:t>Skills SW Practice</w:t>
            </w:r>
          </w:p>
        </w:tc>
        <w:tc>
          <w:tcPr>
            <w:tcW w:w="1098" w:type="dxa"/>
          </w:tcPr>
          <w:p>
            <w:pPr>
              <w:pStyle w:val="TableParagraph"/>
              <w:spacing w:line="244" w:lineRule="exact"/>
              <w:ind w:right="373"/>
              <w:jc w:val="right"/>
              <w:rPr>
                <w:b w:val="0"/>
                <w:sz w:val="24"/>
              </w:rPr>
            </w:pPr>
            <w:r>
              <w:rPr>
                <w:b w:val="0"/>
                <w:sz w:val="24"/>
              </w:rPr>
              <w:t>3</w:t>
            </w:r>
          </w:p>
        </w:tc>
      </w:tr>
      <w:tr>
        <w:trPr>
          <w:trHeight w:val="432" w:hRule="atLeast"/>
        </w:trPr>
        <w:tc>
          <w:tcPr>
            <w:tcW w:w="5696" w:type="dxa"/>
            <w:shd w:val="clear" w:color="auto" w:fill="E5E5E5"/>
          </w:tcPr>
          <w:p>
            <w:pPr>
              <w:pStyle w:val="TableParagraph"/>
              <w:spacing w:before="66"/>
              <w:ind w:right="219"/>
              <w:jc w:val="right"/>
              <w:rPr>
                <w:b w:val="0"/>
                <w:sz w:val="24"/>
              </w:rPr>
            </w:pPr>
            <w:r>
              <w:rPr>
                <w:b w:val="0"/>
                <w:sz w:val="24"/>
              </w:rPr>
              <w:t>7021</w:t>
            </w:r>
          </w:p>
        </w:tc>
        <w:tc>
          <w:tcPr>
            <w:tcW w:w="3058" w:type="dxa"/>
            <w:shd w:val="clear" w:color="auto" w:fill="E5E5E5"/>
          </w:tcPr>
          <w:p>
            <w:pPr>
              <w:pStyle w:val="TableParagraph"/>
              <w:spacing w:before="66"/>
              <w:ind w:left="222"/>
              <w:rPr>
                <w:b w:val="0"/>
                <w:sz w:val="24"/>
              </w:rPr>
            </w:pPr>
            <w:r>
              <w:rPr>
                <w:b w:val="0"/>
                <w:sz w:val="24"/>
              </w:rPr>
              <w:t>SW Across the Lifespan</w:t>
            </w:r>
          </w:p>
        </w:tc>
        <w:tc>
          <w:tcPr>
            <w:tcW w:w="1098" w:type="dxa"/>
            <w:shd w:val="clear" w:color="auto" w:fill="E5E5E5"/>
          </w:tcPr>
          <w:p>
            <w:pPr>
              <w:pStyle w:val="TableParagraph"/>
              <w:spacing w:before="66"/>
              <w:ind w:right="373"/>
              <w:jc w:val="right"/>
              <w:rPr>
                <w:b w:val="0"/>
                <w:sz w:val="24"/>
              </w:rPr>
            </w:pPr>
            <w:r>
              <w:rPr>
                <w:b w:val="0"/>
                <w:sz w:val="24"/>
              </w:rPr>
              <w:t>3</w:t>
            </w:r>
          </w:p>
        </w:tc>
      </w:tr>
      <w:tr>
        <w:trPr>
          <w:trHeight w:val="355" w:hRule="atLeast"/>
        </w:trPr>
        <w:tc>
          <w:tcPr>
            <w:tcW w:w="5696" w:type="dxa"/>
          </w:tcPr>
          <w:p>
            <w:pPr>
              <w:pStyle w:val="TableParagraph"/>
              <w:spacing w:line="269" w:lineRule="exact" w:before="66"/>
              <w:ind w:right="219"/>
              <w:jc w:val="right"/>
              <w:rPr>
                <w:b w:val="0"/>
                <w:sz w:val="24"/>
              </w:rPr>
            </w:pPr>
            <w:r>
              <w:rPr>
                <w:b w:val="0"/>
                <w:sz w:val="24"/>
              </w:rPr>
              <w:t>7030</w:t>
            </w:r>
          </w:p>
        </w:tc>
        <w:tc>
          <w:tcPr>
            <w:tcW w:w="3058" w:type="dxa"/>
          </w:tcPr>
          <w:p>
            <w:pPr>
              <w:pStyle w:val="TableParagraph"/>
              <w:spacing w:line="269" w:lineRule="exact" w:before="66"/>
              <w:ind w:left="222"/>
              <w:rPr>
                <w:b w:val="0"/>
                <w:sz w:val="24"/>
              </w:rPr>
            </w:pPr>
            <w:r>
              <w:rPr>
                <w:b w:val="0"/>
                <w:sz w:val="24"/>
              </w:rPr>
              <w:t>Social Welfare Policy</w:t>
            </w:r>
          </w:p>
        </w:tc>
        <w:tc>
          <w:tcPr>
            <w:tcW w:w="1098" w:type="dxa"/>
          </w:tcPr>
          <w:p>
            <w:pPr>
              <w:pStyle w:val="TableParagraph"/>
              <w:spacing w:line="269" w:lineRule="exact" w:before="66"/>
              <w:ind w:right="373"/>
              <w:jc w:val="right"/>
              <w:rPr>
                <w:b w:val="0"/>
                <w:sz w:val="24"/>
              </w:rPr>
            </w:pPr>
            <w:r>
              <w:rPr>
                <w:b w:val="0"/>
                <w:sz w:val="24"/>
              </w:rPr>
              <w:t>3</w:t>
            </w:r>
          </w:p>
        </w:tc>
      </w:tr>
    </w:tbl>
    <w:p>
      <w:pPr>
        <w:pStyle w:val="BodyText"/>
        <w:spacing w:before="2"/>
        <w:rPr>
          <w:rFonts w:ascii="Calibri Light"/>
          <w:b w:val="0"/>
          <w:sz w:val="22"/>
        </w:rPr>
      </w:pPr>
    </w:p>
    <w:p>
      <w:pPr>
        <w:pStyle w:val="BodyText"/>
        <w:tabs>
          <w:tab w:pos="5098" w:val="left" w:leader="none"/>
          <w:tab w:pos="10474" w:val="left" w:leader="none"/>
        </w:tabs>
        <w:ind w:left="619"/>
        <w:jc w:val="center"/>
        <w:rPr>
          <w:rFonts w:ascii="Calibri Light"/>
          <w:b w:val="0"/>
        </w:rPr>
      </w:pPr>
      <w:r>
        <w:rPr>
          <w:rFonts w:ascii="Times New Roman"/>
          <w:color w:val="FFFFFF"/>
          <w:shd w:fill="44546A" w:color="auto" w:val="clear"/>
        </w:rPr>
        <w:t> </w:t>
        <w:tab/>
      </w:r>
      <w:r>
        <w:rPr>
          <w:rFonts w:ascii="Calibri Light"/>
          <w:b w:val="0"/>
          <w:color w:val="FFFFFF"/>
          <w:spacing w:val="-3"/>
          <w:shd w:fill="44546A" w:color="auto" w:val="clear"/>
        </w:rPr>
        <w:t>SUMMER</w:t>
        <w:tab/>
      </w:r>
    </w:p>
    <w:p>
      <w:pPr>
        <w:pStyle w:val="BodyText"/>
        <w:spacing w:before="4"/>
        <w:rPr>
          <w:rFonts w:ascii="Calibri Light"/>
          <w:b w:val="0"/>
          <w:sz w:val="6"/>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5"/>
        <w:gridCol w:w="2796"/>
        <w:gridCol w:w="813"/>
        <w:gridCol w:w="955"/>
        <w:gridCol w:w="4143"/>
      </w:tblGrid>
      <w:tr>
        <w:trPr>
          <w:trHeight w:val="364" w:hRule="atLeast"/>
        </w:trPr>
        <w:tc>
          <w:tcPr>
            <w:tcW w:w="1145" w:type="dxa"/>
          </w:tcPr>
          <w:p>
            <w:pPr>
              <w:pStyle w:val="TableParagraph"/>
              <w:spacing w:before="2"/>
              <w:ind w:left="204"/>
              <w:rPr>
                <w:b w:val="0"/>
                <w:sz w:val="24"/>
              </w:rPr>
            </w:pPr>
            <w:r>
              <w:rPr>
                <w:b w:val="0"/>
                <w:sz w:val="24"/>
              </w:rPr>
              <w:t>7002</w:t>
            </w:r>
          </w:p>
        </w:tc>
        <w:tc>
          <w:tcPr>
            <w:tcW w:w="2796" w:type="dxa"/>
          </w:tcPr>
          <w:p>
            <w:pPr>
              <w:pStyle w:val="TableParagraph"/>
              <w:spacing w:before="2"/>
              <w:ind w:left="270"/>
              <w:rPr>
                <w:b w:val="0"/>
                <w:sz w:val="24"/>
              </w:rPr>
            </w:pPr>
            <w:r>
              <w:rPr>
                <w:b w:val="0"/>
                <w:sz w:val="24"/>
              </w:rPr>
              <w:t>Individuals &amp; Families</w:t>
            </w:r>
          </w:p>
        </w:tc>
        <w:tc>
          <w:tcPr>
            <w:tcW w:w="813" w:type="dxa"/>
          </w:tcPr>
          <w:p>
            <w:pPr>
              <w:pStyle w:val="TableParagraph"/>
              <w:spacing w:before="2"/>
              <w:ind w:right="243"/>
              <w:jc w:val="right"/>
              <w:rPr>
                <w:b w:val="0"/>
                <w:sz w:val="24"/>
              </w:rPr>
            </w:pPr>
            <w:r>
              <w:rPr>
                <w:b w:val="0"/>
                <w:sz w:val="24"/>
              </w:rPr>
              <w:t>3</w:t>
            </w:r>
          </w:p>
        </w:tc>
        <w:tc>
          <w:tcPr>
            <w:tcW w:w="955" w:type="dxa"/>
          </w:tcPr>
          <w:p>
            <w:pPr>
              <w:pStyle w:val="TableParagraph"/>
              <w:spacing w:line="244" w:lineRule="exact"/>
              <w:ind w:left="247"/>
              <w:rPr>
                <w:b w:val="0"/>
                <w:sz w:val="24"/>
              </w:rPr>
            </w:pPr>
            <w:r>
              <w:rPr>
                <w:b w:val="0"/>
                <w:sz w:val="24"/>
              </w:rPr>
              <w:t>7003</w:t>
            </w:r>
          </w:p>
        </w:tc>
        <w:tc>
          <w:tcPr>
            <w:tcW w:w="4143" w:type="dxa"/>
          </w:tcPr>
          <w:p>
            <w:pPr>
              <w:pStyle w:val="TableParagraph"/>
              <w:tabs>
                <w:tab w:pos="3774" w:val="right" w:leader="none"/>
              </w:tabs>
              <w:spacing w:line="244" w:lineRule="exact"/>
              <w:ind w:left="221"/>
              <w:rPr>
                <w:b w:val="0"/>
                <w:sz w:val="24"/>
              </w:rPr>
            </w:pPr>
            <w:r>
              <w:rPr>
                <w:b w:val="0"/>
                <w:sz w:val="24"/>
              </w:rPr>
              <w:t>Groups</w:t>
              <w:tab/>
              <w:t>3</w:t>
            </w:r>
          </w:p>
        </w:tc>
      </w:tr>
      <w:tr>
        <w:trPr>
          <w:trHeight w:val="432" w:hRule="atLeast"/>
        </w:trPr>
        <w:tc>
          <w:tcPr>
            <w:tcW w:w="1145" w:type="dxa"/>
            <w:shd w:val="clear" w:color="auto" w:fill="D0CECE"/>
          </w:tcPr>
          <w:p>
            <w:pPr>
              <w:pStyle w:val="TableParagraph"/>
              <w:spacing w:before="69"/>
              <w:ind w:left="127"/>
              <w:rPr>
                <w:b w:val="0"/>
                <w:sz w:val="24"/>
              </w:rPr>
            </w:pPr>
            <w:r>
              <w:rPr>
                <w:b w:val="0"/>
                <w:sz w:val="24"/>
              </w:rPr>
              <w:t>Elective</w:t>
            </w:r>
          </w:p>
        </w:tc>
        <w:tc>
          <w:tcPr>
            <w:tcW w:w="2796" w:type="dxa"/>
            <w:shd w:val="clear" w:color="auto" w:fill="D0CECE"/>
          </w:tcPr>
          <w:p>
            <w:pPr>
              <w:pStyle w:val="TableParagraph"/>
              <w:spacing w:before="69"/>
              <w:ind w:left="270"/>
              <w:rPr>
                <w:b w:val="0"/>
                <w:sz w:val="24"/>
              </w:rPr>
            </w:pPr>
            <w:r>
              <w:rPr>
                <w:b w:val="0"/>
                <w:sz w:val="24"/>
              </w:rPr>
              <w:t>Elective</w:t>
            </w:r>
          </w:p>
        </w:tc>
        <w:tc>
          <w:tcPr>
            <w:tcW w:w="813" w:type="dxa"/>
            <w:shd w:val="clear" w:color="auto" w:fill="D0CECE"/>
          </w:tcPr>
          <w:p>
            <w:pPr>
              <w:pStyle w:val="TableParagraph"/>
              <w:spacing w:before="69"/>
              <w:ind w:right="243"/>
              <w:jc w:val="right"/>
              <w:rPr>
                <w:b w:val="0"/>
                <w:sz w:val="24"/>
              </w:rPr>
            </w:pPr>
            <w:r>
              <w:rPr>
                <w:b w:val="0"/>
                <w:sz w:val="24"/>
              </w:rPr>
              <w:t>3</w:t>
            </w:r>
          </w:p>
        </w:tc>
        <w:tc>
          <w:tcPr>
            <w:tcW w:w="955" w:type="dxa"/>
            <w:shd w:val="clear" w:color="auto" w:fill="D0CECE"/>
          </w:tcPr>
          <w:p>
            <w:pPr>
              <w:pStyle w:val="TableParagraph"/>
              <w:rPr>
                <w:rFonts w:ascii="Times New Roman"/>
                <w:sz w:val="22"/>
              </w:rPr>
            </w:pPr>
          </w:p>
        </w:tc>
        <w:tc>
          <w:tcPr>
            <w:tcW w:w="4143" w:type="dxa"/>
            <w:shd w:val="clear" w:color="auto" w:fill="D0CECE"/>
          </w:tcPr>
          <w:p>
            <w:pPr>
              <w:pStyle w:val="TableParagraph"/>
              <w:rPr>
                <w:rFonts w:ascii="Times New Roman"/>
                <w:sz w:val="22"/>
              </w:rPr>
            </w:pPr>
          </w:p>
        </w:tc>
      </w:tr>
    </w:tbl>
    <w:p>
      <w:pPr>
        <w:pStyle w:val="BodyText"/>
        <w:spacing w:before="11"/>
        <w:rPr>
          <w:rFonts w:ascii="Calibri Light"/>
          <w:b w:val="0"/>
          <w:sz w:val="23"/>
        </w:rPr>
      </w:pPr>
    </w:p>
    <w:p>
      <w:pPr>
        <w:pStyle w:val="BodyText"/>
        <w:ind w:left="3756" w:right="3139"/>
        <w:jc w:val="center"/>
        <w:rPr>
          <w:rFonts w:ascii="Calibri Light"/>
          <w:b w:val="0"/>
        </w:rPr>
      </w:pPr>
      <w:r>
        <w:rPr>
          <w:rFonts w:ascii="Calibri Light"/>
          <w:b w:val="0"/>
        </w:rPr>
        <w:t>Year 2 Foundation/Concentration*</w:t>
      </w:r>
    </w:p>
    <w:p>
      <w:pPr>
        <w:pStyle w:val="BodyText"/>
        <w:ind w:left="892"/>
        <w:rPr>
          <w:rFonts w:ascii="Calibri Light"/>
          <w:sz w:val="20"/>
        </w:rPr>
      </w:pPr>
      <w:r>
        <w:rPr>
          <w:rFonts w:ascii="Calibri Light"/>
          <w:sz w:val="20"/>
        </w:rPr>
        <w:pict>
          <v:shape style="width:492.75pt;height:14.65pt;mso-position-horizontal-relative:char;mso-position-vertical-relative:line" type="#_x0000_t202" filled="true" fillcolor="#44546a" stroked="false">
            <w10:anchorlock/>
            <v:textbox inset="0,0,0,0">
              <w:txbxContent>
                <w:p>
                  <w:pPr>
                    <w:pStyle w:val="BodyText"/>
                    <w:tabs>
                      <w:tab w:pos="6939" w:val="left" w:leader="none"/>
                    </w:tabs>
                    <w:spacing w:line="287" w:lineRule="exact" w:before="6"/>
                    <w:ind w:left="2146"/>
                    <w:rPr>
                      <w:rFonts w:ascii="Calibri Light"/>
                      <w:b w:val="0"/>
                    </w:rPr>
                  </w:pPr>
                  <w:r>
                    <w:rPr>
                      <w:rFonts w:ascii="Calibri Light"/>
                      <w:b w:val="0"/>
                      <w:color w:val="FFFFFF"/>
                    </w:rPr>
                    <w:t>FALL</w:t>
                    <w:tab/>
                  </w:r>
                  <w:r>
                    <w:rPr>
                      <w:rFonts w:ascii="Calibri Light"/>
                      <w:b w:val="0"/>
                      <w:color w:val="FFFFFF"/>
                      <w:spacing w:val="-3"/>
                    </w:rPr>
                    <w:t>SPRING</w:t>
                  </w:r>
                </w:p>
              </w:txbxContent>
            </v:textbox>
            <v:fill type="solid"/>
          </v:shape>
        </w:pict>
      </w:r>
      <w:r>
        <w:rPr>
          <w:rFonts w:ascii="Calibri Light"/>
          <w:sz w:val="20"/>
        </w:rPr>
      </w:r>
    </w:p>
    <w:p>
      <w:pPr>
        <w:pStyle w:val="BodyText"/>
        <w:rPr>
          <w:rFonts w:ascii="Calibri Light"/>
          <w:b w:val="0"/>
          <w:sz w:val="16"/>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1"/>
        <w:gridCol w:w="2521"/>
        <w:gridCol w:w="1003"/>
        <w:gridCol w:w="955"/>
        <w:gridCol w:w="3111"/>
        <w:gridCol w:w="1050"/>
      </w:tblGrid>
      <w:tr>
        <w:trPr>
          <w:trHeight w:val="240" w:hRule="atLeast"/>
        </w:trPr>
        <w:tc>
          <w:tcPr>
            <w:tcW w:w="1211" w:type="dxa"/>
          </w:tcPr>
          <w:p>
            <w:pPr>
              <w:pStyle w:val="TableParagraph"/>
              <w:spacing w:line="220" w:lineRule="exact"/>
              <w:ind w:left="259"/>
              <w:rPr>
                <w:b w:val="0"/>
                <w:sz w:val="24"/>
              </w:rPr>
            </w:pPr>
            <w:r>
              <w:rPr>
                <w:b w:val="0"/>
                <w:sz w:val="24"/>
              </w:rPr>
              <w:t>Elective</w:t>
            </w:r>
          </w:p>
        </w:tc>
        <w:tc>
          <w:tcPr>
            <w:tcW w:w="2521" w:type="dxa"/>
          </w:tcPr>
          <w:p>
            <w:pPr>
              <w:pStyle w:val="TableParagraph"/>
              <w:spacing w:line="220" w:lineRule="exact"/>
              <w:ind w:left="205"/>
              <w:rPr>
                <w:b w:val="0"/>
                <w:sz w:val="24"/>
              </w:rPr>
            </w:pPr>
            <w:r>
              <w:rPr>
                <w:b w:val="0"/>
                <w:sz w:val="24"/>
              </w:rPr>
              <w:t>Elective</w:t>
            </w:r>
          </w:p>
        </w:tc>
        <w:tc>
          <w:tcPr>
            <w:tcW w:w="1003" w:type="dxa"/>
          </w:tcPr>
          <w:p>
            <w:pPr>
              <w:pStyle w:val="TableParagraph"/>
              <w:spacing w:line="220" w:lineRule="exact"/>
              <w:ind w:right="224"/>
              <w:jc w:val="right"/>
              <w:rPr>
                <w:b w:val="0"/>
                <w:sz w:val="24"/>
              </w:rPr>
            </w:pPr>
            <w:r>
              <w:rPr>
                <w:b w:val="0"/>
                <w:sz w:val="24"/>
              </w:rPr>
              <w:t>3</w:t>
            </w:r>
          </w:p>
        </w:tc>
        <w:tc>
          <w:tcPr>
            <w:tcW w:w="955" w:type="dxa"/>
          </w:tcPr>
          <w:p>
            <w:pPr>
              <w:pStyle w:val="TableParagraph"/>
              <w:spacing w:line="144" w:lineRule="exact"/>
              <w:ind w:left="210" w:right="191"/>
              <w:jc w:val="center"/>
              <w:rPr>
                <w:b w:val="0"/>
                <w:sz w:val="24"/>
              </w:rPr>
            </w:pPr>
            <w:r>
              <w:rPr>
                <w:b w:val="0"/>
                <w:sz w:val="24"/>
              </w:rPr>
              <w:t>7005</w:t>
            </w:r>
          </w:p>
        </w:tc>
        <w:tc>
          <w:tcPr>
            <w:tcW w:w="3111" w:type="dxa"/>
          </w:tcPr>
          <w:p>
            <w:pPr>
              <w:pStyle w:val="TableParagraph"/>
              <w:spacing w:line="144" w:lineRule="exact"/>
              <w:ind w:left="226"/>
              <w:rPr>
                <w:b w:val="0"/>
                <w:sz w:val="24"/>
              </w:rPr>
            </w:pPr>
            <w:r>
              <w:rPr>
                <w:b w:val="0"/>
                <w:sz w:val="24"/>
              </w:rPr>
              <w:t>Psychopathology</w:t>
            </w:r>
          </w:p>
        </w:tc>
        <w:tc>
          <w:tcPr>
            <w:tcW w:w="1050" w:type="dxa"/>
          </w:tcPr>
          <w:p>
            <w:pPr>
              <w:pStyle w:val="TableParagraph"/>
              <w:spacing w:line="144" w:lineRule="exact"/>
              <w:ind w:right="372"/>
              <w:jc w:val="right"/>
              <w:rPr>
                <w:b w:val="0"/>
                <w:sz w:val="24"/>
              </w:rPr>
            </w:pPr>
            <w:r>
              <w:rPr>
                <w:b w:val="0"/>
                <w:sz w:val="24"/>
              </w:rPr>
              <w:t>3</w:t>
            </w:r>
          </w:p>
        </w:tc>
      </w:tr>
      <w:tr>
        <w:trPr>
          <w:trHeight w:val="388" w:hRule="atLeast"/>
        </w:trPr>
        <w:tc>
          <w:tcPr>
            <w:tcW w:w="1211" w:type="dxa"/>
            <w:shd w:val="clear" w:color="auto" w:fill="E5E5E5"/>
          </w:tcPr>
          <w:p>
            <w:pPr>
              <w:pStyle w:val="TableParagraph"/>
              <w:spacing w:before="26"/>
              <w:ind w:left="278"/>
              <w:rPr>
                <w:b w:val="0"/>
                <w:sz w:val="24"/>
              </w:rPr>
            </w:pPr>
            <w:r>
              <w:rPr>
                <w:b w:val="0"/>
                <w:sz w:val="24"/>
              </w:rPr>
              <w:t>7051</w:t>
            </w:r>
          </w:p>
        </w:tc>
        <w:tc>
          <w:tcPr>
            <w:tcW w:w="2521" w:type="dxa"/>
            <w:shd w:val="clear" w:color="auto" w:fill="E5E5E5"/>
          </w:tcPr>
          <w:p>
            <w:pPr>
              <w:pStyle w:val="TableParagraph"/>
              <w:spacing w:before="26"/>
              <w:ind w:left="219"/>
              <w:rPr>
                <w:b w:val="0"/>
                <w:sz w:val="24"/>
              </w:rPr>
            </w:pPr>
            <w:r>
              <w:rPr>
                <w:b w:val="0"/>
                <w:sz w:val="24"/>
              </w:rPr>
              <w:t>Field Placement I</w:t>
            </w:r>
          </w:p>
        </w:tc>
        <w:tc>
          <w:tcPr>
            <w:tcW w:w="1003" w:type="dxa"/>
            <w:shd w:val="clear" w:color="auto" w:fill="E5E5E5"/>
          </w:tcPr>
          <w:p>
            <w:pPr>
              <w:pStyle w:val="TableParagraph"/>
              <w:spacing w:before="26"/>
              <w:ind w:right="224"/>
              <w:jc w:val="right"/>
              <w:rPr>
                <w:b w:val="0"/>
                <w:sz w:val="24"/>
              </w:rPr>
            </w:pPr>
            <w:r>
              <w:rPr>
                <w:b w:val="0"/>
                <w:sz w:val="24"/>
              </w:rPr>
              <w:t>3</w:t>
            </w:r>
          </w:p>
        </w:tc>
        <w:tc>
          <w:tcPr>
            <w:tcW w:w="955" w:type="dxa"/>
            <w:shd w:val="clear" w:color="auto" w:fill="E5E5E5"/>
          </w:tcPr>
          <w:p>
            <w:pPr>
              <w:pStyle w:val="TableParagraph"/>
              <w:spacing w:before="26"/>
              <w:ind w:left="210" w:right="191"/>
              <w:jc w:val="center"/>
              <w:rPr>
                <w:b w:val="0"/>
                <w:sz w:val="24"/>
              </w:rPr>
            </w:pPr>
            <w:r>
              <w:rPr>
                <w:b w:val="0"/>
                <w:sz w:val="24"/>
              </w:rPr>
              <w:t>7052</w:t>
            </w:r>
          </w:p>
        </w:tc>
        <w:tc>
          <w:tcPr>
            <w:tcW w:w="3111" w:type="dxa"/>
            <w:shd w:val="clear" w:color="auto" w:fill="E5E5E5"/>
          </w:tcPr>
          <w:p>
            <w:pPr>
              <w:pStyle w:val="TableParagraph"/>
              <w:spacing w:before="26"/>
              <w:ind w:left="226"/>
              <w:rPr>
                <w:b w:val="0"/>
                <w:sz w:val="24"/>
              </w:rPr>
            </w:pPr>
            <w:r>
              <w:rPr>
                <w:b w:val="0"/>
                <w:sz w:val="24"/>
              </w:rPr>
              <w:t>Field Placement II</w:t>
            </w:r>
          </w:p>
        </w:tc>
        <w:tc>
          <w:tcPr>
            <w:tcW w:w="1050" w:type="dxa"/>
            <w:shd w:val="clear" w:color="auto" w:fill="E5E5E5"/>
          </w:tcPr>
          <w:p>
            <w:pPr>
              <w:pStyle w:val="TableParagraph"/>
              <w:spacing w:before="69"/>
              <w:ind w:right="372"/>
              <w:jc w:val="right"/>
              <w:rPr>
                <w:b w:val="0"/>
                <w:sz w:val="24"/>
              </w:rPr>
            </w:pPr>
            <w:r>
              <w:rPr>
                <w:b w:val="0"/>
                <w:sz w:val="24"/>
              </w:rPr>
              <w:t>3</w:t>
            </w:r>
          </w:p>
        </w:tc>
      </w:tr>
      <w:tr>
        <w:trPr>
          <w:trHeight w:val="400" w:hRule="atLeast"/>
        </w:trPr>
        <w:tc>
          <w:tcPr>
            <w:tcW w:w="1211" w:type="dxa"/>
          </w:tcPr>
          <w:p>
            <w:pPr>
              <w:pStyle w:val="TableParagraph"/>
              <w:spacing w:before="69"/>
              <w:ind w:left="278"/>
              <w:rPr>
                <w:b w:val="0"/>
                <w:sz w:val="24"/>
              </w:rPr>
            </w:pPr>
            <w:r>
              <w:rPr>
                <w:b w:val="0"/>
                <w:sz w:val="24"/>
              </w:rPr>
              <w:t>7022</w:t>
            </w:r>
          </w:p>
        </w:tc>
        <w:tc>
          <w:tcPr>
            <w:tcW w:w="2521" w:type="dxa"/>
          </w:tcPr>
          <w:p>
            <w:pPr>
              <w:pStyle w:val="TableParagraph"/>
              <w:spacing w:before="69"/>
              <w:ind w:left="219"/>
              <w:rPr>
                <w:b w:val="0"/>
                <w:sz w:val="24"/>
              </w:rPr>
            </w:pPr>
            <w:r>
              <w:rPr>
                <w:b w:val="0"/>
                <w:sz w:val="24"/>
              </w:rPr>
              <w:t>Communities &amp;</w:t>
            </w:r>
          </w:p>
        </w:tc>
        <w:tc>
          <w:tcPr>
            <w:tcW w:w="1003" w:type="dxa"/>
          </w:tcPr>
          <w:p>
            <w:pPr>
              <w:pStyle w:val="TableParagraph"/>
              <w:spacing w:before="69"/>
              <w:ind w:right="224"/>
              <w:jc w:val="right"/>
              <w:rPr>
                <w:b w:val="0"/>
                <w:sz w:val="24"/>
              </w:rPr>
            </w:pPr>
            <w:r>
              <w:rPr>
                <w:b w:val="0"/>
                <w:sz w:val="24"/>
              </w:rPr>
              <w:t>3</w:t>
            </w:r>
          </w:p>
        </w:tc>
        <w:tc>
          <w:tcPr>
            <w:tcW w:w="955" w:type="dxa"/>
          </w:tcPr>
          <w:p>
            <w:pPr>
              <w:pStyle w:val="TableParagraph"/>
              <w:spacing w:before="69"/>
              <w:ind w:left="196" w:right="204"/>
              <w:jc w:val="center"/>
              <w:rPr>
                <w:b w:val="0"/>
                <w:sz w:val="24"/>
              </w:rPr>
            </w:pPr>
            <w:r>
              <w:rPr>
                <w:b w:val="0"/>
                <w:sz w:val="24"/>
              </w:rPr>
              <w:t>7018</w:t>
            </w:r>
          </w:p>
        </w:tc>
        <w:tc>
          <w:tcPr>
            <w:tcW w:w="3111" w:type="dxa"/>
          </w:tcPr>
          <w:p>
            <w:pPr>
              <w:pStyle w:val="TableParagraph"/>
              <w:spacing w:before="69"/>
              <w:ind w:left="226"/>
              <w:rPr>
                <w:b w:val="0"/>
                <w:sz w:val="24"/>
              </w:rPr>
            </w:pPr>
            <w:r>
              <w:rPr>
                <w:b w:val="0"/>
                <w:sz w:val="24"/>
              </w:rPr>
              <w:t>Adv. Individual Adults or</w:t>
            </w:r>
          </w:p>
        </w:tc>
        <w:tc>
          <w:tcPr>
            <w:tcW w:w="1050" w:type="dxa"/>
          </w:tcPr>
          <w:p>
            <w:pPr>
              <w:pStyle w:val="TableParagraph"/>
              <w:spacing w:line="269" w:lineRule="exact" w:before="112"/>
              <w:ind w:right="372"/>
              <w:jc w:val="right"/>
              <w:rPr>
                <w:b w:val="0"/>
                <w:sz w:val="24"/>
              </w:rPr>
            </w:pPr>
            <w:r>
              <w:rPr>
                <w:b w:val="0"/>
                <w:sz w:val="24"/>
              </w:rPr>
              <w:t>3</w:t>
            </w:r>
          </w:p>
        </w:tc>
      </w:tr>
    </w:tbl>
    <w:p>
      <w:pPr>
        <w:spacing w:after="0" w:line="269" w:lineRule="exact"/>
        <w:jc w:val="right"/>
        <w:rPr>
          <w:sz w:val="24"/>
        </w:rPr>
        <w:sectPr>
          <w:pgSz w:w="12240" w:h="15840"/>
          <w:pgMar w:header="0" w:footer="3028" w:top="1400" w:bottom="3320" w:left="300" w:right="920"/>
        </w:sectPr>
      </w:pPr>
    </w:p>
    <w:p>
      <w:pPr>
        <w:pStyle w:val="BodyText"/>
        <w:spacing w:line="254" w:lineRule="exact"/>
        <w:ind w:left="2323"/>
        <w:rPr>
          <w:rFonts w:ascii="Calibri Light"/>
          <w:b w:val="0"/>
        </w:rPr>
      </w:pPr>
      <w:r>
        <w:rPr>
          <w:rFonts w:ascii="Calibri Light"/>
          <w:b w:val="0"/>
          <w:spacing w:val="-1"/>
        </w:rPr>
        <w:t>Organizations</w:t>
      </w:r>
    </w:p>
    <w:p>
      <w:pPr>
        <w:pStyle w:val="BodyText"/>
        <w:spacing w:before="30"/>
        <w:jc w:val="right"/>
        <w:rPr>
          <w:rFonts w:ascii="Calibri Light"/>
          <w:b w:val="0"/>
        </w:rPr>
      </w:pPr>
      <w:r>
        <w:rPr/>
        <w:br w:type="column"/>
      </w:r>
      <w:r>
        <w:rPr>
          <w:rFonts w:ascii="Calibri Light"/>
          <w:b w:val="0"/>
        </w:rPr>
        <w:t>7016</w:t>
      </w:r>
    </w:p>
    <w:p>
      <w:pPr>
        <w:pStyle w:val="BodyText"/>
        <w:spacing w:before="30"/>
        <w:ind w:left="423"/>
        <w:rPr>
          <w:rFonts w:ascii="Calibri Light"/>
          <w:b w:val="0"/>
        </w:rPr>
      </w:pPr>
      <w:r>
        <w:rPr/>
        <w:br w:type="column"/>
      </w:r>
      <w:r>
        <w:rPr>
          <w:rFonts w:ascii="Calibri Light"/>
          <w:b w:val="0"/>
        </w:rPr>
        <w:t>Adv. Individual Child/Youth</w:t>
      </w:r>
    </w:p>
    <w:p>
      <w:pPr>
        <w:spacing w:after="0"/>
        <w:rPr>
          <w:rFonts w:ascii="Calibri Light"/>
        </w:rPr>
        <w:sectPr>
          <w:type w:val="continuous"/>
          <w:pgSz w:w="12240" w:h="15840"/>
          <w:pgMar w:top="1500" w:bottom="280" w:left="300" w:right="920"/>
          <w:cols w:num="3" w:equalWidth="0">
            <w:col w:w="3645" w:space="40"/>
            <w:col w:w="2661" w:space="39"/>
            <w:col w:w="4635"/>
          </w:cols>
        </w:sectPr>
      </w:pPr>
    </w:p>
    <w:p>
      <w:pPr>
        <w:pStyle w:val="BodyText"/>
        <w:tabs>
          <w:tab w:pos="5419" w:val="left" w:leader="none"/>
          <w:tab w:pos="10747" w:val="left" w:leader="none"/>
        </w:tabs>
        <w:spacing w:before="115"/>
        <w:ind w:left="892"/>
        <w:rPr>
          <w:rFonts w:ascii="Calibri Light"/>
          <w:b w:val="0"/>
        </w:rPr>
      </w:pPr>
      <w:r>
        <w:rPr>
          <w:rFonts w:ascii="Times New Roman"/>
          <w:color w:val="FFFFFF"/>
          <w:shd w:fill="44546A" w:color="auto" w:val="clear"/>
        </w:rPr>
        <w:t> </w:t>
        <w:tab/>
      </w:r>
      <w:r>
        <w:rPr>
          <w:rFonts w:ascii="Calibri Light"/>
          <w:b w:val="0"/>
          <w:color w:val="FFFFFF"/>
          <w:spacing w:val="-3"/>
          <w:shd w:fill="44546A" w:color="auto" w:val="clear"/>
        </w:rPr>
        <w:t>SUMMER</w:t>
        <w:tab/>
      </w:r>
    </w:p>
    <w:p>
      <w:pPr>
        <w:pStyle w:val="BodyText"/>
        <w:spacing w:before="5"/>
        <w:rPr>
          <w:rFonts w:ascii="Calibri Light"/>
          <w:b w:val="0"/>
          <w:sz w:val="15"/>
        </w:rPr>
      </w:pP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3"/>
        <w:gridCol w:w="2068"/>
        <w:gridCol w:w="1461"/>
        <w:gridCol w:w="949"/>
        <w:gridCol w:w="3340"/>
        <w:gridCol w:w="496"/>
      </w:tblGrid>
      <w:tr>
        <w:trPr>
          <w:trHeight w:val="266" w:hRule="atLeast"/>
        </w:trPr>
        <w:tc>
          <w:tcPr>
            <w:tcW w:w="1013" w:type="dxa"/>
          </w:tcPr>
          <w:p>
            <w:pPr>
              <w:pStyle w:val="TableParagraph"/>
              <w:spacing w:line="244" w:lineRule="exact"/>
              <w:ind w:left="50"/>
              <w:rPr>
                <w:b w:val="0"/>
                <w:sz w:val="24"/>
              </w:rPr>
            </w:pPr>
            <w:r>
              <w:rPr>
                <w:b w:val="0"/>
                <w:sz w:val="24"/>
              </w:rPr>
              <w:t>Elective</w:t>
            </w:r>
          </w:p>
        </w:tc>
        <w:tc>
          <w:tcPr>
            <w:tcW w:w="2068" w:type="dxa"/>
          </w:tcPr>
          <w:p>
            <w:pPr>
              <w:pStyle w:val="TableParagraph"/>
              <w:spacing w:line="244" w:lineRule="exact"/>
              <w:ind w:left="215"/>
              <w:rPr>
                <w:b w:val="0"/>
                <w:sz w:val="24"/>
              </w:rPr>
            </w:pPr>
            <w:r>
              <w:rPr>
                <w:b w:val="0"/>
                <w:sz w:val="24"/>
              </w:rPr>
              <w:t>Elective</w:t>
            </w:r>
          </w:p>
        </w:tc>
        <w:tc>
          <w:tcPr>
            <w:tcW w:w="1461" w:type="dxa"/>
          </w:tcPr>
          <w:p>
            <w:pPr>
              <w:pStyle w:val="TableParagraph"/>
              <w:spacing w:line="244" w:lineRule="exact"/>
              <w:ind w:right="233"/>
              <w:jc w:val="right"/>
              <w:rPr>
                <w:b w:val="0"/>
                <w:sz w:val="24"/>
              </w:rPr>
            </w:pPr>
            <w:r>
              <w:rPr>
                <w:b w:val="0"/>
                <w:sz w:val="24"/>
              </w:rPr>
              <w:t>3</w:t>
            </w:r>
          </w:p>
        </w:tc>
        <w:tc>
          <w:tcPr>
            <w:tcW w:w="949" w:type="dxa"/>
          </w:tcPr>
          <w:p>
            <w:pPr>
              <w:pStyle w:val="TableParagraph"/>
              <w:spacing w:line="244" w:lineRule="exact"/>
              <w:ind w:left="214" w:right="207"/>
              <w:jc w:val="center"/>
              <w:rPr>
                <w:b w:val="0"/>
                <w:sz w:val="24"/>
              </w:rPr>
            </w:pPr>
            <w:r>
              <w:rPr>
                <w:b w:val="0"/>
                <w:sz w:val="24"/>
              </w:rPr>
              <w:t>7033</w:t>
            </w:r>
          </w:p>
        </w:tc>
        <w:tc>
          <w:tcPr>
            <w:tcW w:w="3340" w:type="dxa"/>
          </w:tcPr>
          <w:p>
            <w:pPr>
              <w:pStyle w:val="TableParagraph"/>
              <w:spacing w:line="244" w:lineRule="exact"/>
              <w:ind w:left="223"/>
              <w:rPr>
                <w:b w:val="0"/>
                <w:sz w:val="24"/>
              </w:rPr>
            </w:pPr>
            <w:r>
              <w:rPr>
                <w:b w:val="0"/>
                <w:sz w:val="24"/>
              </w:rPr>
              <w:t>Adv. Community Adults or</w:t>
            </w:r>
          </w:p>
        </w:tc>
        <w:tc>
          <w:tcPr>
            <w:tcW w:w="496" w:type="dxa"/>
          </w:tcPr>
          <w:p>
            <w:pPr>
              <w:pStyle w:val="TableParagraph"/>
              <w:spacing w:line="244" w:lineRule="exact"/>
              <w:ind w:left="322"/>
              <w:rPr>
                <w:b w:val="0"/>
                <w:sz w:val="24"/>
              </w:rPr>
            </w:pPr>
            <w:r>
              <w:rPr>
                <w:b w:val="0"/>
                <w:sz w:val="24"/>
              </w:rPr>
              <w:t>3</w:t>
            </w:r>
          </w:p>
        </w:tc>
      </w:tr>
      <w:tr>
        <w:trPr>
          <w:trHeight w:val="314" w:hRule="atLeast"/>
        </w:trPr>
        <w:tc>
          <w:tcPr>
            <w:tcW w:w="1013" w:type="dxa"/>
          </w:tcPr>
          <w:p>
            <w:pPr>
              <w:pStyle w:val="TableParagraph"/>
              <w:rPr>
                <w:rFonts w:ascii="Times New Roman"/>
                <w:sz w:val="22"/>
              </w:rPr>
            </w:pPr>
          </w:p>
        </w:tc>
        <w:tc>
          <w:tcPr>
            <w:tcW w:w="2068" w:type="dxa"/>
          </w:tcPr>
          <w:p>
            <w:pPr>
              <w:pStyle w:val="TableParagraph"/>
              <w:rPr>
                <w:rFonts w:ascii="Times New Roman"/>
                <w:sz w:val="22"/>
              </w:rPr>
            </w:pPr>
          </w:p>
        </w:tc>
        <w:tc>
          <w:tcPr>
            <w:tcW w:w="1461" w:type="dxa"/>
          </w:tcPr>
          <w:p>
            <w:pPr>
              <w:pStyle w:val="TableParagraph"/>
              <w:rPr>
                <w:rFonts w:ascii="Times New Roman"/>
                <w:sz w:val="22"/>
              </w:rPr>
            </w:pPr>
          </w:p>
        </w:tc>
        <w:tc>
          <w:tcPr>
            <w:tcW w:w="949" w:type="dxa"/>
          </w:tcPr>
          <w:p>
            <w:pPr>
              <w:pStyle w:val="TableParagraph"/>
              <w:spacing w:line="269" w:lineRule="exact" w:before="26"/>
              <w:ind w:left="214" w:right="207"/>
              <w:jc w:val="center"/>
              <w:rPr>
                <w:b w:val="0"/>
                <w:sz w:val="24"/>
              </w:rPr>
            </w:pPr>
            <w:r>
              <w:rPr>
                <w:b w:val="0"/>
                <w:sz w:val="24"/>
              </w:rPr>
              <w:t>7032</w:t>
            </w:r>
          </w:p>
        </w:tc>
        <w:tc>
          <w:tcPr>
            <w:tcW w:w="3340" w:type="dxa"/>
          </w:tcPr>
          <w:p>
            <w:pPr>
              <w:pStyle w:val="TableParagraph"/>
              <w:spacing w:line="271" w:lineRule="exact"/>
              <w:ind w:left="223"/>
              <w:rPr>
                <w:b w:val="0"/>
                <w:sz w:val="24"/>
              </w:rPr>
            </w:pPr>
            <w:r>
              <w:rPr>
                <w:b w:val="0"/>
                <w:sz w:val="24"/>
              </w:rPr>
              <w:t>Adv. Community Child/Youth</w:t>
            </w:r>
          </w:p>
        </w:tc>
        <w:tc>
          <w:tcPr>
            <w:tcW w:w="496" w:type="dxa"/>
          </w:tcPr>
          <w:p>
            <w:pPr>
              <w:pStyle w:val="TableParagraph"/>
              <w:rPr>
                <w:rFonts w:ascii="Times New Roman"/>
                <w:sz w:val="22"/>
              </w:rPr>
            </w:pPr>
          </w:p>
        </w:tc>
      </w:tr>
    </w:tbl>
    <w:p>
      <w:pPr>
        <w:pStyle w:val="BodyText"/>
        <w:spacing w:before="2"/>
        <w:rPr>
          <w:rFonts w:ascii="Calibri Light"/>
          <w:b w:val="0"/>
          <w:sz w:val="19"/>
        </w:rPr>
      </w:pPr>
    </w:p>
    <w:p>
      <w:pPr>
        <w:pStyle w:val="BodyText"/>
        <w:ind w:left="3781" w:right="2958"/>
        <w:jc w:val="center"/>
        <w:rPr>
          <w:rFonts w:ascii="Calibri Light"/>
          <w:b w:val="0"/>
        </w:rPr>
      </w:pPr>
      <w:r>
        <w:rPr>
          <w:rFonts w:ascii="Calibri Light"/>
          <w:b w:val="0"/>
        </w:rPr>
        <w:t>Year 3 Concentration</w:t>
      </w:r>
    </w:p>
    <w:p>
      <w:pPr>
        <w:pStyle w:val="BodyText"/>
        <w:spacing w:before="6"/>
        <w:rPr>
          <w:rFonts w:ascii="Calibri Light"/>
          <w:b w:val="0"/>
          <w:sz w:val="21"/>
        </w:rPr>
      </w:pPr>
      <w:r>
        <w:rPr/>
        <w:pict>
          <v:shape style="position:absolute;margin-left:59.639999pt;margin-top:14.334883pt;width:492.75pt;height:14.55pt;mso-position-horizontal-relative:page;mso-position-vertical-relative:paragraph;z-index:-736;mso-wrap-distance-left:0;mso-wrap-distance-right:0" type="#_x0000_t202" filled="true" fillcolor="#44546a" stroked="false">
            <v:textbox inset="0,0,0,0">
              <w:txbxContent>
                <w:p>
                  <w:pPr>
                    <w:pStyle w:val="BodyText"/>
                    <w:tabs>
                      <w:tab w:pos="6434" w:val="left" w:leader="none"/>
                    </w:tabs>
                    <w:spacing w:line="286" w:lineRule="exact" w:before="4"/>
                    <w:ind w:left="2404"/>
                    <w:rPr>
                      <w:rFonts w:ascii="Calibri Light"/>
                      <w:b w:val="0"/>
                    </w:rPr>
                  </w:pPr>
                  <w:r>
                    <w:rPr>
                      <w:rFonts w:ascii="Calibri Light"/>
                      <w:b w:val="0"/>
                      <w:color w:val="FFFFFF"/>
                    </w:rPr>
                    <w:t>FALL</w:t>
                    <w:tab/>
                    <w:t>SPRING</w:t>
                  </w:r>
                </w:p>
              </w:txbxContent>
            </v:textbox>
            <v:fill type="solid"/>
            <w10:wrap type="topAndBottom"/>
          </v:shape>
        </w:pict>
      </w:r>
    </w:p>
    <w:p>
      <w:pPr>
        <w:pStyle w:val="BodyText"/>
        <w:spacing w:before="3"/>
        <w:rPr>
          <w:rFonts w:ascii="Calibri Light"/>
          <w:b w:val="0"/>
          <w:sz w:val="4"/>
        </w:rPr>
      </w:pPr>
    </w:p>
    <w:tbl>
      <w:tblPr>
        <w:tblW w:w="0" w:type="auto"/>
        <w:jc w:val="lef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2829"/>
        <w:gridCol w:w="834"/>
        <w:gridCol w:w="948"/>
        <w:gridCol w:w="2974"/>
        <w:gridCol w:w="1188"/>
      </w:tblGrid>
      <w:tr>
        <w:trPr>
          <w:trHeight w:val="367" w:hRule="atLeast"/>
        </w:trPr>
        <w:tc>
          <w:tcPr>
            <w:tcW w:w="1080" w:type="dxa"/>
          </w:tcPr>
          <w:p>
            <w:pPr>
              <w:pStyle w:val="TableParagraph"/>
              <w:spacing w:line="244" w:lineRule="exact"/>
              <w:ind w:left="251"/>
              <w:rPr>
                <w:b w:val="0"/>
                <w:sz w:val="24"/>
              </w:rPr>
            </w:pPr>
            <w:r>
              <w:rPr>
                <w:b w:val="0"/>
                <w:sz w:val="24"/>
              </w:rPr>
              <w:t>7025</w:t>
            </w:r>
          </w:p>
        </w:tc>
        <w:tc>
          <w:tcPr>
            <w:tcW w:w="2829" w:type="dxa"/>
          </w:tcPr>
          <w:p>
            <w:pPr>
              <w:pStyle w:val="TableParagraph"/>
              <w:spacing w:line="244" w:lineRule="exact"/>
              <w:ind w:left="338"/>
              <w:rPr>
                <w:b w:val="0"/>
                <w:sz w:val="24"/>
              </w:rPr>
            </w:pPr>
            <w:r>
              <w:rPr>
                <w:b w:val="0"/>
                <w:sz w:val="24"/>
              </w:rPr>
              <w:t>Scientific Methods</w:t>
            </w:r>
          </w:p>
        </w:tc>
        <w:tc>
          <w:tcPr>
            <w:tcW w:w="834" w:type="dxa"/>
          </w:tcPr>
          <w:p>
            <w:pPr>
              <w:pStyle w:val="TableParagraph"/>
              <w:spacing w:before="4"/>
              <w:ind w:right="232"/>
              <w:jc w:val="right"/>
              <w:rPr>
                <w:b w:val="0"/>
                <w:sz w:val="24"/>
              </w:rPr>
            </w:pPr>
            <w:r>
              <w:rPr>
                <w:b w:val="0"/>
                <w:sz w:val="24"/>
              </w:rPr>
              <w:t>3</w:t>
            </w:r>
          </w:p>
        </w:tc>
        <w:tc>
          <w:tcPr>
            <w:tcW w:w="948" w:type="dxa"/>
          </w:tcPr>
          <w:p>
            <w:pPr>
              <w:pStyle w:val="TableParagraph"/>
              <w:spacing w:before="4"/>
              <w:ind w:left="215" w:right="205"/>
              <w:jc w:val="center"/>
              <w:rPr>
                <w:b w:val="0"/>
                <w:sz w:val="24"/>
              </w:rPr>
            </w:pPr>
            <w:r>
              <w:rPr>
                <w:b w:val="0"/>
                <w:sz w:val="24"/>
              </w:rPr>
              <w:t>7026</w:t>
            </w:r>
          </w:p>
        </w:tc>
        <w:tc>
          <w:tcPr>
            <w:tcW w:w="2974" w:type="dxa"/>
          </w:tcPr>
          <w:p>
            <w:pPr>
              <w:pStyle w:val="TableParagraph"/>
              <w:spacing w:before="4"/>
              <w:ind w:left="225"/>
              <w:rPr>
                <w:b w:val="0"/>
                <w:sz w:val="24"/>
              </w:rPr>
            </w:pPr>
            <w:r>
              <w:rPr>
                <w:b w:val="0"/>
                <w:sz w:val="24"/>
              </w:rPr>
              <w:t>Evaluative Research</w:t>
            </w:r>
          </w:p>
        </w:tc>
        <w:tc>
          <w:tcPr>
            <w:tcW w:w="1188" w:type="dxa"/>
          </w:tcPr>
          <w:p>
            <w:pPr>
              <w:pStyle w:val="TableParagraph"/>
              <w:spacing w:before="4"/>
              <w:ind w:right="374"/>
              <w:jc w:val="right"/>
              <w:rPr>
                <w:b w:val="0"/>
                <w:sz w:val="24"/>
              </w:rPr>
            </w:pPr>
            <w:r>
              <w:rPr>
                <w:b w:val="0"/>
                <w:sz w:val="24"/>
              </w:rPr>
              <w:t>3</w:t>
            </w:r>
          </w:p>
        </w:tc>
      </w:tr>
      <w:tr>
        <w:trPr>
          <w:trHeight w:val="518" w:hRule="atLeast"/>
        </w:trPr>
        <w:tc>
          <w:tcPr>
            <w:tcW w:w="1080" w:type="dxa"/>
            <w:shd w:val="clear" w:color="auto" w:fill="DADADA"/>
          </w:tcPr>
          <w:p>
            <w:pPr>
              <w:pStyle w:val="TableParagraph"/>
              <w:spacing w:before="112"/>
              <w:ind w:left="251"/>
              <w:rPr>
                <w:b w:val="0"/>
                <w:sz w:val="24"/>
              </w:rPr>
            </w:pPr>
            <w:r>
              <w:rPr>
                <w:b w:val="0"/>
                <w:sz w:val="24"/>
              </w:rPr>
              <w:t>7053</w:t>
            </w:r>
          </w:p>
        </w:tc>
        <w:tc>
          <w:tcPr>
            <w:tcW w:w="2829" w:type="dxa"/>
            <w:shd w:val="clear" w:color="auto" w:fill="DADADA"/>
          </w:tcPr>
          <w:p>
            <w:pPr>
              <w:pStyle w:val="TableParagraph"/>
              <w:spacing w:before="112"/>
              <w:ind w:left="350"/>
              <w:rPr>
                <w:b w:val="0"/>
                <w:sz w:val="24"/>
              </w:rPr>
            </w:pPr>
            <w:r>
              <w:rPr>
                <w:b w:val="0"/>
                <w:sz w:val="24"/>
              </w:rPr>
              <w:t>Field Placement III</w:t>
            </w:r>
          </w:p>
        </w:tc>
        <w:tc>
          <w:tcPr>
            <w:tcW w:w="834" w:type="dxa"/>
            <w:shd w:val="clear" w:color="auto" w:fill="DADADA"/>
          </w:tcPr>
          <w:p>
            <w:pPr>
              <w:pStyle w:val="TableParagraph"/>
              <w:spacing w:before="112"/>
              <w:ind w:right="232"/>
              <w:jc w:val="right"/>
              <w:rPr>
                <w:b w:val="0"/>
                <w:sz w:val="24"/>
              </w:rPr>
            </w:pPr>
            <w:r>
              <w:rPr>
                <w:b w:val="0"/>
                <w:sz w:val="24"/>
              </w:rPr>
              <w:t>3</w:t>
            </w:r>
          </w:p>
        </w:tc>
        <w:tc>
          <w:tcPr>
            <w:tcW w:w="948" w:type="dxa"/>
            <w:shd w:val="clear" w:color="auto" w:fill="DADADA"/>
          </w:tcPr>
          <w:p>
            <w:pPr>
              <w:pStyle w:val="TableParagraph"/>
              <w:spacing w:before="112"/>
              <w:ind w:left="215" w:right="205"/>
              <w:jc w:val="center"/>
              <w:rPr>
                <w:b w:val="0"/>
                <w:sz w:val="24"/>
              </w:rPr>
            </w:pPr>
            <w:r>
              <w:rPr>
                <w:b w:val="0"/>
                <w:sz w:val="24"/>
              </w:rPr>
              <w:t>7054</w:t>
            </w:r>
          </w:p>
        </w:tc>
        <w:tc>
          <w:tcPr>
            <w:tcW w:w="2974" w:type="dxa"/>
            <w:shd w:val="clear" w:color="auto" w:fill="DADADA"/>
          </w:tcPr>
          <w:p>
            <w:pPr>
              <w:pStyle w:val="TableParagraph"/>
              <w:spacing w:before="112"/>
              <w:ind w:left="225"/>
              <w:rPr>
                <w:b w:val="0"/>
                <w:sz w:val="24"/>
              </w:rPr>
            </w:pPr>
            <w:r>
              <w:rPr>
                <w:b w:val="0"/>
                <w:sz w:val="24"/>
              </w:rPr>
              <w:t>Field Placement IV</w:t>
            </w:r>
          </w:p>
        </w:tc>
        <w:tc>
          <w:tcPr>
            <w:tcW w:w="1188" w:type="dxa"/>
            <w:shd w:val="clear" w:color="auto" w:fill="DADADA"/>
          </w:tcPr>
          <w:p>
            <w:pPr>
              <w:pStyle w:val="TableParagraph"/>
              <w:spacing w:before="112"/>
              <w:ind w:right="374"/>
              <w:jc w:val="right"/>
              <w:rPr>
                <w:b w:val="0"/>
                <w:sz w:val="24"/>
              </w:rPr>
            </w:pPr>
            <w:r>
              <w:rPr>
                <w:b w:val="0"/>
                <w:sz w:val="24"/>
              </w:rPr>
              <w:t>3</w:t>
            </w:r>
          </w:p>
        </w:tc>
      </w:tr>
      <w:tr>
        <w:trPr>
          <w:trHeight w:val="355" w:hRule="atLeast"/>
        </w:trPr>
        <w:tc>
          <w:tcPr>
            <w:tcW w:w="1080" w:type="dxa"/>
          </w:tcPr>
          <w:p>
            <w:pPr>
              <w:pStyle w:val="TableParagraph"/>
              <w:spacing w:line="269" w:lineRule="exact" w:before="66"/>
              <w:ind w:left="251"/>
              <w:rPr>
                <w:b w:val="0"/>
                <w:sz w:val="24"/>
              </w:rPr>
            </w:pPr>
            <w:r>
              <w:rPr>
                <w:b w:val="0"/>
                <w:sz w:val="24"/>
              </w:rPr>
              <w:t>7055</w:t>
            </w:r>
          </w:p>
        </w:tc>
        <w:tc>
          <w:tcPr>
            <w:tcW w:w="2829" w:type="dxa"/>
          </w:tcPr>
          <w:p>
            <w:pPr>
              <w:pStyle w:val="TableParagraph"/>
              <w:spacing w:line="269" w:lineRule="exact" w:before="66"/>
              <w:ind w:left="350"/>
              <w:rPr>
                <w:b w:val="0"/>
                <w:sz w:val="24"/>
              </w:rPr>
            </w:pPr>
            <w:r>
              <w:rPr>
                <w:b w:val="0"/>
                <w:sz w:val="24"/>
              </w:rPr>
              <w:t>Integrative Seminar I</w:t>
            </w:r>
          </w:p>
        </w:tc>
        <w:tc>
          <w:tcPr>
            <w:tcW w:w="834" w:type="dxa"/>
          </w:tcPr>
          <w:p>
            <w:pPr>
              <w:pStyle w:val="TableParagraph"/>
              <w:spacing w:line="269" w:lineRule="exact" w:before="66"/>
              <w:ind w:right="232"/>
              <w:jc w:val="right"/>
              <w:rPr>
                <w:b w:val="0"/>
                <w:sz w:val="24"/>
              </w:rPr>
            </w:pPr>
            <w:r>
              <w:rPr>
                <w:b w:val="0"/>
                <w:sz w:val="24"/>
              </w:rPr>
              <w:t>3</w:t>
            </w:r>
          </w:p>
        </w:tc>
        <w:tc>
          <w:tcPr>
            <w:tcW w:w="948" w:type="dxa"/>
          </w:tcPr>
          <w:p>
            <w:pPr>
              <w:pStyle w:val="TableParagraph"/>
              <w:spacing w:line="269" w:lineRule="exact" w:before="66"/>
              <w:ind w:left="215" w:right="205"/>
              <w:jc w:val="center"/>
              <w:rPr>
                <w:b w:val="0"/>
                <w:sz w:val="24"/>
              </w:rPr>
            </w:pPr>
            <w:r>
              <w:rPr>
                <w:b w:val="0"/>
                <w:sz w:val="24"/>
              </w:rPr>
              <w:t>7056</w:t>
            </w:r>
          </w:p>
        </w:tc>
        <w:tc>
          <w:tcPr>
            <w:tcW w:w="2974" w:type="dxa"/>
          </w:tcPr>
          <w:p>
            <w:pPr>
              <w:pStyle w:val="TableParagraph"/>
              <w:spacing w:line="269" w:lineRule="exact" w:before="66"/>
              <w:ind w:left="225"/>
              <w:rPr>
                <w:b w:val="0"/>
                <w:sz w:val="24"/>
              </w:rPr>
            </w:pPr>
            <w:r>
              <w:rPr>
                <w:b w:val="0"/>
                <w:sz w:val="24"/>
              </w:rPr>
              <w:t>Integrative Seminar II</w:t>
            </w:r>
          </w:p>
        </w:tc>
        <w:tc>
          <w:tcPr>
            <w:tcW w:w="1188" w:type="dxa"/>
          </w:tcPr>
          <w:p>
            <w:pPr>
              <w:pStyle w:val="TableParagraph"/>
              <w:spacing w:line="269" w:lineRule="exact" w:before="66"/>
              <w:ind w:right="374"/>
              <w:jc w:val="right"/>
              <w:rPr>
                <w:b w:val="0"/>
                <w:sz w:val="24"/>
              </w:rPr>
            </w:pPr>
            <w:r>
              <w:rPr>
                <w:b w:val="0"/>
                <w:sz w:val="24"/>
              </w:rPr>
              <w:t>3</w:t>
            </w:r>
          </w:p>
        </w:tc>
      </w:tr>
    </w:tbl>
    <w:sectPr>
      <w:type w:val="continuous"/>
      <w:pgSz w:w="12240" w:h="15840"/>
      <w:pgMar w:top="1500" w:bottom="280" w:left="3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409927pt;margin-top:725.618286pt;width:175.95pt;height:15.5pt;mso-position-horizontal-relative:page;mso-position-vertical-relative:page;z-index:-62008" type="#_x0000_t202" filled="false" stroked="false">
          <v:textbox inset="0,0,0,0">
            <w:txbxContent>
              <w:p>
                <w:pPr>
                  <w:spacing w:before="20"/>
                  <w:ind w:left="20" w:right="0" w:firstLine="0"/>
                  <w:jc w:val="left"/>
                  <w:rPr>
                    <w:sz w:val="22"/>
                  </w:rPr>
                </w:pPr>
                <w:r>
                  <w:rPr>
                    <w:sz w:val="22"/>
                  </w:rPr>
                  <w:t>MASTER OF SOCIAL WORK HANDBOOK</w:t>
                </w:r>
              </w:p>
            </w:txbxContent>
          </v:textbox>
          <w10:wrap type="none"/>
        </v:shape>
      </w:pict>
    </w:r>
    <w:r>
      <w:rPr/>
      <w:pict>
        <v:shape style="position:absolute;margin-left:481.414886pt;margin-top:725.618286pt;width:41.05pt;height:15.5pt;mso-position-horizontal-relative:page;mso-position-vertical-relative:page;z-index:-61984" type="#_x0000_t202" filled="false" stroked="false">
          <v:textbox inset="0,0,0,0">
            <w:txbxContent>
              <w:p>
                <w:pPr>
                  <w:spacing w:before="20"/>
                  <w:ind w:left="20" w:right="0" w:firstLine="0"/>
                  <w:jc w:val="left"/>
                  <w:rPr>
                    <w:sz w:val="22"/>
                  </w:rPr>
                </w:pPr>
                <w:r>
                  <w:rPr>
                    <w:sz w:val="22"/>
                  </w:rPr>
                  <w:t>PAGE </w:t>
                </w:r>
                <w:r>
                  <w:rPr/>
                  <w:fldChar w:fldCharType="begin"/>
                </w:r>
                <w:r>
                  <w:rPr>
                    <w:sz w:val="22"/>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60" from="63.889919pt,728.639893pt" to="555.889927pt,728.639971pt" stroked="true" strokeweight=".48pt" strokecolor="#000000">
          <v:stroke dashstyle="solid"/>
          <w10:wrap type="none"/>
        </v:line>
      </w:pict>
    </w:r>
    <w:r>
      <w:rPr/>
      <w:pict>
        <v:shape style="position:absolute;margin-left:59.850105pt;margin-top:727.584229pt;width:240.3pt;height:16.650pt;mso-position-horizontal-relative:page;mso-position-vertical-relative:page;z-index:-61936" type="#_x0000_t202" filled="false" stroked="false">
          <v:textbox inset="0,0,0,0">
            <w:txbxContent>
              <w:p>
                <w:pPr>
                  <w:pStyle w:val="BodyText"/>
                  <w:spacing w:before="20"/>
                  <w:ind w:left="20"/>
                </w:pPr>
                <w:r>
                  <w:rPr/>
                  <w:t>MASTER OF SOCIAL WORK STUDENT HANDBOOK</w:t>
                </w:r>
              </w:p>
            </w:txbxContent>
          </v:textbox>
          <w10:wrap type="none"/>
        </v:shape>
      </w:pict>
    </w:r>
    <w:r>
      <w:rPr/>
      <w:pict>
        <v:shape style="position:absolute;margin-left:512.490051pt;margin-top:727.584229pt;width:44.45pt;height:16.650pt;mso-position-horizontal-relative:page;mso-position-vertical-relative:page;z-index:-61912" type="#_x0000_t202" filled="false" stroked="false">
          <v:textbox inset="0,0,0,0">
            <w:txbxContent>
              <w:p>
                <w:pPr>
                  <w:pStyle w:val="BodyText"/>
                  <w:spacing w:before="20"/>
                  <w:ind w:left="20"/>
                </w:pPr>
                <w:r>
                  <w:rPr/>
                  <w:t>PAGE </w:t>
                </w:r>
                <w:r>
                  <w:rPr/>
                  <w:fldChar w:fldCharType="begin"/>
                </w:r>
                <w:r>
                  <w:rPr/>
                  <w:instrText> PAGE </w:instrText>
                </w:r>
                <w:r>
                  <w:rPr/>
                  <w:fldChar w:fldCharType="separate"/>
                </w:r>
                <w:r>
                  <w:rPr/>
                  <w:t>18</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pt;margin-top:629.586975pt;width:497.4pt;height:26.5pt;mso-position-horizontal-relative:page;mso-position-vertical-relative:page;z-index:-61888" type="#_x0000_t202" filled="false" stroked="false">
          <v:textbox inset="0,0,0,0">
            <w:txbxContent>
              <w:p>
                <w:pPr>
                  <w:spacing w:line="245" w:lineRule="exact" w:before="0"/>
                  <w:ind w:left="20" w:right="0" w:firstLine="0"/>
                  <w:jc w:val="left"/>
                  <w:rPr>
                    <w:rFonts w:ascii="Calibri Light"/>
                    <w:b w:val="0"/>
                    <w:sz w:val="22"/>
                  </w:rPr>
                </w:pPr>
                <w:r>
                  <w:rPr>
                    <w:rFonts w:ascii="Calibri Light"/>
                    <w:b w:val="0"/>
                    <w:sz w:val="22"/>
                  </w:rPr>
                  <w:t>*Children, Youth, and Family concentration will take SWRK 7016 and SWRK 7032 for their concentration classes;</w:t>
                </w:r>
              </w:p>
              <w:p>
                <w:pPr>
                  <w:spacing w:before="0"/>
                  <w:ind w:left="20" w:right="0" w:firstLine="0"/>
                  <w:jc w:val="left"/>
                  <w:rPr>
                    <w:rFonts w:ascii="Calibri Light"/>
                    <w:b w:val="0"/>
                    <w:sz w:val="22"/>
                  </w:rPr>
                </w:pPr>
                <w:r>
                  <w:rPr>
                    <w:rFonts w:ascii="Calibri Light"/>
                    <w:b w:val="0"/>
                    <w:sz w:val="22"/>
                  </w:rPr>
                  <w:t>*Adults and Family concentration will take SWRK 7018 and SWRK 7033 for their concentration classes.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3"/>
      <w:numFmt w:val="decimal"/>
      <w:lvlText w:val="%1"/>
      <w:lvlJc w:val="left"/>
      <w:pPr>
        <w:ind w:left="3458" w:hanging="178"/>
        <w:jc w:val="left"/>
      </w:pPr>
      <w:rPr>
        <w:rFonts w:hint="default" w:ascii="Calibri Light" w:hAnsi="Calibri Light" w:eastAsia="Calibri Light" w:cs="Calibri Light"/>
        <w:w w:val="100"/>
        <w:sz w:val="24"/>
        <w:szCs w:val="24"/>
      </w:rPr>
    </w:lvl>
    <w:lvl w:ilvl="1">
      <w:start w:val="0"/>
      <w:numFmt w:val="bullet"/>
      <w:lvlText w:val="•"/>
      <w:lvlJc w:val="left"/>
      <w:pPr>
        <w:ind w:left="4216" w:hanging="178"/>
      </w:pPr>
      <w:rPr>
        <w:rFonts w:hint="default"/>
      </w:rPr>
    </w:lvl>
    <w:lvl w:ilvl="2">
      <w:start w:val="0"/>
      <w:numFmt w:val="bullet"/>
      <w:lvlText w:val="•"/>
      <w:lvlJc w:val="left"/>
      <w:pPr>
        <w:ind w:left="4972" w:hanging="178"/>
      </w:pPr>
      <w:rPr>
        <w:rFonts w:hint="default"/>
      </w:rPr>
    </w:lvl>
    <w:lvl w:ilvl="3">
      <w:start w:val="0"/>
      <w:numFmt w:val="bullet"/>
      <w:lvlText w:val="•"/>
      <w:lvlJc w:val="left"/>
      <w:pPr>
        <w:ind w:left="5728" w:hanging="178"/>
      </w:pPr>
      <w:rPr>
        <w:rFonts w:hint="default"/>
      </w:rPr>
    </w:lvl>
    <w:lvl w:ilvl="4">
      <w:start w:val="0"/>
      <w:numFmt w:val="bullet"/>
      <w:lvlText w:val="•"/>
      <w:lvlJc w:val="left"/>
      <w:pPr>
        <w:ind w:left="6484" w:hanging="178"/>
      </w:pPr>
      <w:rPr>
        <w:rFonts w:hint="default"/>
      </w:rPr>
    </w:lvl>
    <w:lvl w:ilvl="5">
      <w:start w:val="0"/>
      <w:numFmt w:val="bullet"/>
      <w:lvlText w:val="•"/>
      <w:lvlJc w:val="left"/>
      <w:pPr>
        <w:ind w:left="7240" w:hanging="178"/>
      </w:pPr>
      <w:rPr>
        <w:rFonts w:hint="default"/>
      </w:rPr>
    </w:lvl>
    <w:lvl w:ilvl="6">
      <w:start w:val="0"/>
      <w:numFmt w:val="bullet"/>
      <w:lvlText w:val="•"/>
      <w:lvlJc w:val="left"/>
      <w:pPr>
        <w:ind w:left="7996" w:hanging="178"/>
      </w:pPr>
      <w:rPr>
        <w:rFonts w:hint="default"/>
      </w:rPr>
    </w:lvl>
    <w:lvl w:ilvl="7">
      <w:start w:val="0"/>
      <w:numFmt w:val="bullet"/>
      <w:lvlText w:val="•"/>
      <w:lvlJc w:val="left"/>
      <w:pPr>
        <w:ind w:left="8752" w:hanging="178"/>
      </w:pPr>
      <w:rPr>
        <w:rFonts w:hint="default"/>
      </w:rPr>
    </w:lvl>
    <w:lvl w:ilvl="8">
      <w:start w:val="0"/>
      <w:numFmt w:val="bullet"/>
      <w:lvlText w:val="•"/>
      <w:lvlJc w:val="left"/>
      <w:pPr>
        <w:ind w:left="9508" w:hanging="178"/>
      </w:pPr>
      <w:rPr>
        <w:rFonts w:hint="default"/>
      </w:rPr>
    </w:lvl>
  </w:abstractNum>
  <w:abstractNum w:abstractNumId="14">
    <w:multiLevelType w:val="hybridMultilevel"/>
    <w:lvl w:ilvl="0">
      <w:start w:val="1"/>
      <w:numFmt w:val="upperLetter"/>
      <w:lvlText w:val="%1."/>
      <w:lvlJc w:val="left"/>
      <w:pPr>
        <w:ind w:left="1118" w:hanging="253"/>
        <w:jc w:val="left"/>
      </w:pPr>
      <w:rPr>
        <w:rFonts w:hint="default" w:ascii="Calibri" w:hAnsi="Calibri" w:eastAsia="Calibri" w:cs="Calibri"/>
        <w:i/>
        <w:w w:val="100"/>
        <w:sz w:val="24"/>
        <w:szCs w:val="24"/>
      </w:rPr>
    </w:lvl>
    <w:lvl w:ilvl="1">
      <w:start w:val="0"/>
      <w:numFmt w:val="bullet"/>
      <w:lvlText w:val=""/>
      <w:lvlJc w:val="left"/>
      <w:pPr>
        <w:ind w:left="1585" w:hanging="361"/>
      </w:pPr>
      <w:rPr>
        <w:rFonts w:hint="default"/>
        <w:w w:val="100"/>
      </w:rPr>
    </w:lvl>
    <w:lvl w:ilvl="2">
      <w:start w:val="0"/>
      <w:numFmt w:val="bullet"/>
      <w:lvlText w:val="•"/>
      <w:lvlJc w:val="left"/>
      <w:pPr>
        <w:ind w:left="3400" w:hanging="361"/>
      </w:pPr>
      <w:rPr>
        <w:rFonts w:hint="default"/>
      </w:rPr>
    </w:lvl>
    <w:lvl w:ilvl="3">
      <w:start w:val="0"/>
      <w:numFmt w:val="bullet"/>
      <w:lvlText w:val="•"/>
      <w:lvlJc w:val="left"/>
      <w:pPr>
        <w:ind w:left="4352" w:hanging="361"/>
      </w:pPr>
      <w:rPr>
        <w:rFonts w:hint="default"/>
      </w:rPr>
    </w:lvl>
    <w:lvl w:ilvl="4">
      <w:start w:val="0"/>
      <w:numFmt w:val="bullet"/>
      <w:lvlText w:val="•"/>
      <w:lvlJc w:val="left"/>
      <w:pPr>
        <w:ind w:left="5305" w:hanging="361"/>
      </w:pPr>
      <w:rPr>
        <w:rFonts w:hint="default"/>
      </w:rPr>
    </w:lvl>
    <w:lvl w:ilvl="5">
      <w:start w:val="0"/>
      <w:numFmt w:val="bullet"/>
      <w:lvlText w:val="•"/>
      <w:lvlJc w:val="left"/>
      <w:pPr>
        <w:ind w:left="6257" w:hanging="361"/>
      </w:pPr>
      <w:rPr>
        <w:rFonts w:hint="default"/>
      </w:rPr>
    </w:lvl>
    <w:lvl w:ilvl="6">
      <w:start w:val="0"/>
      <w:numFmt w:val="bullet"/>
      <w:lvlText w:val="•"/>
      <w:lvlJc w:val="left"/>
      <w:pPr>
        <w:ind w:left="7210" w:hanging="361"/>
      </w:pPr>
      <w:rPr>
        <w:rFonts w:hint="default"/>
      </w:rPr>
    </w:lvl>
    <w:lvl w:ilvl="7">
      <w:start w:val="0"/>
      <w:numFmt w:val="bullet"/>
      <w:lvlText w:val="•"/>
      <w:lvlJc w:val="left"/>
      <w:pPr>
        <w:ind w:left="8162" w:hanging="361"/>
      </w:pPr>
      <w:rPr>
        <w:rFonts w:hint="default"/>
      </w:rPr>
    </w:lvl>
    <w:lvl w:ilvl="8">
      <w:start w:val="0"/>
      <w:numFmt w:val="bullet"/>
      <w:lvlText w:val="•"/>
      <w:lvlJc w:val="left"/>
      <w:pPr>
        <w:ind w:left="9115" w:hanging="361"/>
      </w:pPr>
      <w:rPr>
        <w:rFonts w:hint="default"/>
      </w:rPr>
    </w:lvl>
  </w:abstractNum>
  <w:abstractNum w:abstractNumId="13">
    <w:multiLevelType w:val="hybridMultilevel"/>
    <w:lvl w:ilvl="0">
      <w:start w:val="1"/>
      <w:numFmt w:val="upperLetter"/>
      <w:lvlText w:val="%1."/>
      <w:lvlJc w:val="left"/>
      <w:pPr>
        <w:ind w:left="1118" w:hanging="253"/>
        <w:jc w:val="left"/>
      </w:pPr>
      <w:rPr>
        <w:rFonts w:hint="default" w:ascii="Calibri" w:hAnsi="Calibri" w:eastAsia="Calibri" w:cs="Calibri"/>
        <w:i/>
        <w:w w:val="100"/>
        <w:sz w:val="24"/>
        <w:szCs w:val="24"/>
      </w:rPr>
    </w:lvl>
    <w:lvl w:ilvl="1">
      <w:start w:val="0"/>
      <w:numFmt w:val="bullet"/>
      <w:lvlText w:val="•"/>
      <w:lvlJc w:val="left"/>
      <w:pPr>
        <w:ind w:left="2110" w:hanging="253"/>
      </w:pPr>
      <w:rPr>
        <w:rFonts w:hint="default"/>
      </w:rPr>
    </w:lvl>
    <w:lvl w:ilvl="2">
      <w:start w:val="0"/>
      <w:numFmt w:val="bullet"/>
      <w:lvlText w:val="•"/>
      <w:lvlJc w:val="left"/>
      <w:pPr>
        <w:ind w:left="3100" w:hanging="253"/>
      </w:pPr>
      <w:rPr>
        <w:rFonts w:hint="default"/>
      </w:rPr>
    </w:lvl>
    <w:lvl w:ilvl="3">
      <w:start w:val="0"/>
      <w:numFmt w:val="bullet"/>
      <w:lvlText w:val="•"/>
      <w:lvlJc w:val="left"/>
      <w:pPr>
        <w:ind w:left="4090" w:hanging="253"/>
      </w:pPr>
      <w:rPr>
        <w:rFonts w:hint="default"/>
      </w:rPr>
    </w:lvl>
    <w:lvl w:ilvl="4">
      <w:start w:val="0"/>
      <w:numFmt w:val="bullet"/>
      <w:lvlText w:val="•"/>
      <w:lvlJc w:val="left"/>
      <w:pPr>
        <w:ind w:left="5080" w:hanging="253"/>
      </w:pPr>
      <w:rPr>
        <w:rFonts w:hint="default"/>
      </w:rPr>
    </w:lvl>
    <w:lvl w:ilvl="5">
      <w:start w:val="0"/>
      <w:numFmt w:val="bullet"/>
      <w:lvlText w:val="•"/>
      <w:lvlJc w:val="left"/>
      <w:pPr>
        <w:ind w:left="6070" w:hanging="253"/>
      </w:pPr>
      <w:rPr>
        <w:rFonts w:hint="default"/>
      </w:rPr>
    </w:lvl>
    <w:lvl w:ilvl="6">
      <w:start w:val="0"/>
      <w:numFmt w:val="bullet"/>
      <w:lvlText w:val="•"/>
      <w:lvlJc w:val="left"/>
      <w:pPr>
        <w:ind w:left="7060" w:hanging="253"/>
      </w:pPr>
      <w:rPr>
        <w:rFonts w:hint="default"/>
      </w:rPr>
    </w:lvl>
    <w:lvl w:ilvl="7">
      <w:start w:val="0"/>
      <w:numFmt w:val="bullet"/>
      <w:lvlText w:val="•"/>
      <w:lvlJc w:val="left"/>
      <w:pPr>
        <w:ind w:left="8050" w:hanging="253"/>
      </w:pPr>
      <w:rPr>
        <w:rFonts w:hint="default"/>
      </w:rPr>
    </w:lvl>
    <w:lvl w:ilvl="8">
      <w:start w:val="0"/>
      <w:numFmt w:val="bullet"/>
      <w:lvlText w:val="•"/>
      <w:lvlJc w:val="left"/>
      <w:pPr>
        <w:ind w:left="9040" w:hanging="253"/>
      </w:pPr>
      <w:rPr>
        <w:rFonts w:hint="default"/>
      </w:rPr>
    </w:lvl>
  </w:abstractNum>
  <w:abstractNum w:abstractNumId="12">
    <w:multiLevelType w:val="hybridMultilevel"/>
    <w:lvl w:ilvl="0">
      <w:start w:val="1"/>
      <w:numFmt w:val="upperLetter"/>
      <w:lvlText w:val="%1."/>
      <w:lvlJc w:val="left"/>
      <w:pPr>
        <w:ind w:left="1118" w:hanging="253"/>
        <w:jc w:val="left"/>
      </w:pPr>
      <w:rPr>
        <w:rFonts w:hint="default" w:ascii="Calibri" w:hAnsi="Calibri" w:eastAsia="Calibri" w:cs="Calibri"/>
        <w:i/>
        <w:w w:val="100"/>
        <w:sz w:val="24"/>
        <w:szCs w:val="24"/>
      </w:rPr>
    </w:lvl>
    <w:lvl w:ilvl="1">
      <w:start w:val="0"/>
      <w:numFmt w:val="bullet"/>
      <w:lvlText w:val="•"/>
      <w:lvlJc w:val="left"/>
      <w:pPr>
        <w:ind w:left="2110" w:hanging="253"/>
      </w:pPr>
      <w:rPr>
        <w:rFonts w:hint="default"/>
      </w:rPr>
    </w:lvl>
    <w:lvl w:ilvl="2">
      <w:start w:val="0"/>
      <w:numFmt w:val="bullet"/>
      <w:lvlText w:val="•"/>
      <w:lvlJc w:val="left"/>
      <w:pPr>
        <w:ind w:left="3100" w:hanging="253"/>
      </w:pPr>
      <w:rPr>
        <w:rFonts w:hint="default"/>
      </w:rPr>
    </w:lvl>
    <w:lvl w:ilvl="3">
      <w:start w:val="0"/>
      <w:numFmt w:val="bullet"/>
      <w:lvlText w:val="•"/>
      <w:lvlJc w:val="left"/>
      <w:pPr>
        <w:ind w:left="4090" w:hanging="253"/>
      </w:pPr>
      <w:rPr>
        <w:rFonts w:hint="default"/>
      </w:rPr>
    </w:lvl>
    <w:lvl w:ilvl="4">
      <w:start w:val="0"/>
      <w:numFmt w:val="bullet"/>
      <w:lvlText w:val="•"/>
      <w:lvlJc w:val="left"/>
      <w:pPr>
        <w:ind w:left="5080" w:hanging="253"/>
      </w:pPr>
      <w:rPr>
        <w:rFonts w:hint="default"/>
      </w:rPr>
    </w:lvl>
    <w:lvl w:ilvl="5">
      <w:start w:val="0"/>
      <w:numFmt w:val="bullet"/>
      <w:lvlText w:val="•"/>
      <w:lvlJc w:val="left"/>
      <w:pPr>
        <w:ind w:left="6070" w:hanging="253"/>
      </w:pPr>
      <w:rPr>
        <w:rFonts w:hint="default"/>
      </w:rPr>
    </w:lvl>
    <w:lvl w:ilvl="6">
      <w:start w:val="0"/>
      <w:numFmt w:val="bullet"/>
      <w:lvlText w:val="•"/>
      <w:lvlJc w:val="left"/>
      <w:pPr>
        <w:ind w:left="7060" w:hanging="253"/>
      </w:pPr>
      <w:rPr>
        <w:rFonts w:hint="default"/>
      </w:rPr>
    </w:lvl>
    <w:lvl w:ilvl="7">
      <w:start w:val="0"/>
      <w:numFmt w:val="bullet"/>
      <w:lvlText w:val="•"/>
      <w:lvlJc w:val="left"/>
      <w:pPr>
        <w:ind w:left="8050" w:hanging="253"/>
      </w:pPr>
      <w:rPr>
        <w:rFonts w:hint="default"/>
      </w:rPr>
    </w:lvl>
    <w:lvl w:ilvl="8">
      <w:start w:val="0"/>
      <w:numFmt w:val="bullet"/>
      <w:lvlText w:val="•"/>
      <w:lvlJc w:val="left"/>
      <w:pPr>
        <w:ind w:left="9040" w:hanging="253"/>
      </w:pPr>
      <w:rPr>
        <w:rFonts w:hint="default"/>
      </w:rPr>
    </w:lvl>
  </w:abstractNum>
  <w:abstractNum w:abstractNumId="11">
    <w:multiLevelType w:val="hybridMultilevel"/>
    <w:lvl w:ilvl="0">
      <w:start w:val="1"/>
      <w:numFmt w:val="upperLetter"/>
      <w:lvlText w:val="%1."/>
      <w:lvlJc w:val="left"/>
      <w:pPr>
        <w:ind w:left="865" w:hanging="254"/>
        <w:jc w:val="left"/>
      </w:pPr>
      <w:rPr>
        <w:rFonts w:hint="default" w:ascii="Calibri" w:hAnsi="Calibri" w:eastAsia="Calibri" w:cs="Calibri"/>
        <w:i/>
        <w:spacing w:val="-1"/>
        <w:w w:val="100"/>
        <w:sz w:val="24"/>
        <w:szCs w:val="24"/>
      </w:rPr>
    </w:lvl>
    <w:lvl w:ilvl="1">
      <w:start w:val="0"/>
      <w:numFmt w:val="bullet"/>
      <w:lvlText w:val="•"/>
      <w:lvlJc w:val="left"/>
      <w:pPr>
        <w:ind w:left="1876" w:hanging="254"/>
      </w:pPr>
      <w:rPr>
        <w:rFonts w:hint="default"/>
      </w:rPr>
    </w:lvl>
    <w:lvl w:ilvl="2">
      <w:start w:val="0"/>
      <w:numFmt w:val="bullet"/>
      <w:lvlText w:val="•"/>
      <w:lvlJc w:val="left"/>
      <w:pPr>
        <w:ind w:left="2892" w:hanging="254"/>
      </w:pPr>
      <w:rPr>
        <w:rFonts w:hint="default"/>
      </w:rPr>
    </w:lvl>
    <w:lvl w:ilvl="3">
      <w:start w:val="0"/>
      <w:numFmt w:val="bullet"/>
      <w:lvlText w:val="•"/>
      <w:lvlJc w:val="left"/>
      <w:pPr>
        <w:ind w:left="3908" w:hanging="254"/>
      </w:pPr>
      <w:rPr>
        <w:rFonts w:hint="default"/>
      </w:rPr>
    </w:lvl>
    <w:lvl w:ilvl="4">
      <w:start w:val="0"/>
      <w:numFmt w:val="bullet"/>
      <w:lvlText w:val="•"/>
      <w:lvlJc w:val="left"/>
      <w:pPr>
        <w:ind w:left="4924" w:hanging="254"/>
      </w:pPr>
      <w:rPr>
        <w:rFonts w:hint="default"/>
      </w:rPr>
    </w:lvl>
    <w:lvl w:ilvl="5">
      <w:start w:val="0"/>
      <w:numFmt w:val="bullet"/>
      <w:lvlText w:val="•"/>
      <w:lvlJc w:val="left"/>
      <w:pPr>
        <w:ind w:left="5940" w:hanging="254"/>
      </w:pPr>
      <w:rPr>
        <w:rFonts w:hint="default"/>
      </w:rPr>
    </w:lvl>
    <w:lvl w:ilvl="6">
      <w:start w:val="0"/>
      <w:numFmt w:val="bullet"/>
      <w:lvlText w:val="•"/>
      <w:lvlJc w:val="left"/>
      <w:pPr>
        <w:ind w:left="6956" w:hanging="254"/>
      </w:pPr>
      <w:rPr>
        <w:rFonts w:hint="default"/>
      </w:rPr>
    </w:lvl>
    <w:lvl w:ilvl="7">
      <w:start w:val="0"/>
      <w:numFmt w:val="bullet"/>
      <w:lvlText w:val="•"/>
      <w:lvlJc w:val="left"/>
      <w:pPr>
        <w:ind w:left="7972" w:hanging="254"/>
      </w:pPr>
      <w:rPr>
        <w:rFonts w:hint="default"/>
      </w:rPr>
    </w:lvl>
    <w:lvl w:ilvl="8">
      <w:start w:val="0"/>
      <w:numFmt w:val="bullet"/>
      <w:lvlText w:val="•"/>
      <w:lvlJc w:val="left"/>
      <w:pPr>
        <w:ind w:left="8988" w:hanging="254"/>
      </w:pPr>
      <w:rPr>
        <w:rFonts w:hint="default"/>
      </w:rPr>
    </w:lvl>
  </w:abstractNum>
  <w:abstractNum w:abstractNumId="10">
    <w:multiLevelType w:val="hybridMultilevel"/>
    <w:lvl w:ilvl="0">
      <w:start w:val="1"/>
      <w:numFmt w:val="decimal"/>
      <w:lvlText w:val="%1."/>
      <w:lvlJc w:val="left"/>
      <w:pPr>
        <w:ind w:left="1585" w:hanging="360"/>
        <w:jc w:val="left"/>
      </w:pPr>
      <w:rPr>
        <w:rFonts w:hint="default" w:ascii="Calibri" w:hAnsi="Calibri" w:eastAsia="Calibri" w:cs="Calibri"/>
        <w:spacing w:val="-7"/>
        <w:w w:val="100"/>
        <w:sz w:val="24"/>
        <w:szCs w:val="24"/>
      </w:rPr>
    </w:lvl>
    <w:lvl w:ilvl="1">
      <w:start w:val="0"/>
      <w:numFmt w:val="bullet"/>
      <w:lvlText w:val="•"/>
      <w:lvlJc w:val="left"/>
      <w:pPr>
        <w:ind w:left="2524" w:hanging="360"/>
      </w:pPr>
      <w:rPr>
        <w:rFonts w:hint="default"/>
      </w:rPr>
    </w:lvl>
    <w:lvl w:ilvl="2">
      <w:start w:val="0"/>
      <w:numFmt w:val="bullet"/>
      <w:lvlText w:val="•"/>
      <w:lvlJc w:val="left"/>
      <w:pPr>
        <w:ind w:left="3468" w:hanging="360"/>
      </w:pPr>
      <w:rPr>
        <w:rFonts w:hint="default"/>
      </w:rPr>
    </w:lvl>
    <w:lvl w:ilvl="3">
      <w:start w:val="0"/>
      <w:numFmt w:val="bullet"/>
      <w:lvlText w:val="•"/>
      <w:lvlJc w:val="left"/>
      <w:pPr>
        <w:ind w:left="4412" w:hanging="360"/>
      </w:pPr>
      <w:rPr>
        <w:rFonts w:hint="default"/>
      </w:rPr>
    </w:lvl>
    <w:lvl w:ilvl="4">
      <w:start w:val="0"/>
      <w:numFmt w:val="bullet"/>
      <w:lvlText w:val="•"/>
      <w:lvlJc w:val="left"/>
      <w:pPr>
        <w:ind w:left="5356" w:hanging="360"/>
      </w:pPr>
      <w:rPr>
        <w:rFonts w:hint="default"/>
      </w:rPr>
    </w:lvl>
    <w:lvl w:ilvl="5">
      <w:start w:val="0"/>
      <w:numFmt w:val="bullet"/>
      <w:lvlText w:val="•"/>
      <w:lvlJc w:val="left"/>
      <w:pPr>
        <w:ind w:left="6300" w:hanging="360"/>
      </w:pPr>
      <w:rPr>
        <w:rFonts w:hint="default"/>
      </w:rPr>
    </w:lvl>
    <w:lvl w:ilvl="6">
      <w:start w:val="0"/>
      <w:numFmt w:val="bullet"/>
      <w:lvlText w:val="•"/>
      <w:lvlJc w:val="left"/>
      <w:pPr>
        <w:ind w:left="7244" w:hanging="360"/>
      </w:pPr>
      <w:rPr>
        <w:rFonts w:hint="default"/>
      </w:rPr>
    </w:lvl>
    <w:lvl w:ilvl="7">
      <w:start w:val="0"/>
      <w:numFmt w:val="bullet"/>
      <w:lvlText w:val="•"/>
      <w:lvlJc w:val="left"/>
      <w:pPr>
        <w:ind w:left="8188" w:hanging="360"/>
      </w:pPr>
      <w:rPr>
        <w:rFonts w:hint="default"/>
      </w:rPr>
    </w:lvl>
    <w:lvl w:ilvl="8">
      <w:start w:val="0"/>
      <w:numFmt w:val="bullet"/>
      <w:lvlText w:val="•"/>
      <w:lvlJc w:val="left"/>
      <w:pPr>
        <w:ind w:left="9132" w:hanging="360"/>
      </w:pPr>
      <w:rPr>
        <w:rFonts w:hint="default"/>
      </w:rPr>
    </w:lvl>
  </w:abstractNum>
  <w:abstractNum w:abstractNumId="9">
    <w:multiLevelType w:val="hybridMultilevel"/>
    <w:lvl w:ilvl="0">
      <w:start w:val="30"/>
      <w:numFmt w:val="decimal"/>
      <w:lvlText w:val="(%1)"/>
      <w:lvlJc w:val="left"/>
      <w:pPr>
        <w:ind w:left="864" w:hanging="462"/>
        <w:jc w:val="left"/>
      </w:pPr>
      <w:rPr>
        <w:rFonts w:hint="default" w:ascii="Calibri" w:hAnsi="Calibri" w:eastAsia="Calibri" w:cs="Calibri"/>
        <w:w w:val="100"/>
        <w:sz w:val="24"/>
        <w:szCs w:val="24"/>
      </w:rPr>
    </w:lvl>
    <w:lvl w:ilvl="1">
      <w:start w:val="1"/>
      <w:numFmt w:val="decimal"/>
      <w:lvlText w:val="%2."/>
      <w:lvlJc w:val="left"/>
      <w:pPr>
        <w:ind w:left="1585" w:hanging="360"/>
        <w:jc w:val="left"/>
      </w:pPr>
      <w:rPr>
        <w:rFonts w:hint="default" w:ascii="Calibri" w:hAnsi="Calibri" w:eastAsia="Calibri" w:cs="Calibri"/>
        <w:spacing w:val="-3"/>
        <w:w w:val="100"/>
        <w:sz w:val="24"/>
        <w:szCs w:val="24"/>
      </w:rPr>
    </w:lvl>
    <w:lvl w:ilvl="2">
      <w:start w:val="1"/>
      <w:numFmt w:val="lowerLetter"/>
      <w:lvlText w:val="%3."/>
      <w:lvlJc w:val="left"/>
      <w:pPr>
        <w:ind w:left="2305" w:hanging="360"/>
        <w:jc w:val="left"/>
      </w:pPr>
      <w:rPr>
        <w:rFonts w:hint="default" w:ascii="Calibri" w:hAnsi="Calibri" w:eastAsia="Calibri" w:cs="Calibri"/>
        <w:spacing w:val="-15"/>
        <w:w w:val="100"/>
        <w:sz w:val="24"/>
        <w:szCs w:val="24"/>
      </w:rPr>
    </w:lvl>
    <w:lvl w:ilvl="3">
      <w:start w:val="0"/>
      <w:numFmt w:val="bullet"/>
      <w:lvlText w:val="•"/>
      <w:lvlJc w:val="left"/>
      <w:pPr>
        <w:ind w:left="3390" w:hanging="360"/>
      </w:pPr>
      <w:rPr>
        <w:rFonts w:hint="default"/>
      </w:rPr>
    </w:lvl>
    <w:lvl w:ilvl="4">
      <w:start w:val="0"/>
      <w:numFmt w:val="bullet"/>
      <w:lvlText w:val="•"/>
      <w:lvlJc w:val="left"/>
      <w:pPr>
        <w:ind w:left="4480"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660" w:hanging="360"/>
      </w:pPr>
      <w:rPr>
        <w:rFonts w:hint="default"/>
      </w:rPr>
    </w:lvl>
    <w:lvl w:ilvl="7">
      <w:start w:val="0"/>
      <w:numFmt w:val="bullet"/>
      <w:lvlText w:val="•"/>
      <w:lvlJc w:val="left"/>
      <w:pPr>
        <w:ind w:left="7750" w:hanging="360"/>
      </w:pPr>
      <w:rPr>
        <w:rFonts w:hint="default"/>
      </w:rPr>
    </w:lvl>
    <w:lvl w:ilvl="8">
      <w:start w:val="0"/>
      <w:numFmt w:val="bullet"/>
      <w:lvlText w:val="•"/>
      <w:lvlJc w:val="left"/>
      <w:pPr>
        <w:ind w:left="8840" w:hanging="360"/>
      </w:pPr>
      <w:rPr>
        <w:rFonts w:hint="default"/>
      </w:rPr>
    </w:lvl>
  </w:abstractNum>
  <w:abstractNum w:abstractNumId="8">
    <w:multiLevelType w:val="hybridMultilevel"/>
    <w:lvl w:ilvl="0">
      <w:start w:val="0"/>
      <w:numFmt w:val="bullet"/>
      <w:lvlText w:val=""/>
      <w:lvlJc w:val="left"/>
      <w:pPr>
        <w:ind w:left="1585" w:hanging="361"/>
      </w:pPr>
      <w:rPr>
        <w:rFonts w:hint="default" w:ascii="Symbol" w:hAnsi="Symbol" w:eastAsia="Symbol" w:cs="Symbol"/>
        <w:w w:val="100"/>
        <w:sz w:val="24"/>
        <w:szCs w:val="24"/>
      </w:rPr>
    </w:lvl>
    <w:lvl w:ilvl="1">
      <w:start w:val="0"/>
      <w:numFmt w:val="bullet"/>
      <w:lvlText w:val="•"/>
      <w:lvlJc w:val="left"/>
      <w:pPr>
        <w:ind w:left="2524" w:hanging="361"/>
      </w:pPr>
      <w:rPr>
        <w:rFonts w:hint="default"/>
      </w:rPr>
    </w:lvl>
    <w:lvl w:ilvl="2">
      <w:start w:val="0"/>
      <w:numFmt w:val="bullet"/>
      <w:lvlText w:val="•"/>
      <w:lvlJc w:val="left"/>
      <w:pPr>
        <w:ind w:left="3468" w:hanging="361"/>
      </w:pPr>
      <w:rPr>
        <w:rFonts w:hint="default"/>
      </w:rPr>
    </w:lvl>
    <w:lvl w:ilvl="3">
      <w:start w:val="0"/>
      <w:numFmt w:val="bullet"/>
      <w:lvlText w:val="•"/>
      <w:lvlJc w:val="left"/>
      <w:pPr>
        <w:ind w:left="4412" w:hanging="361"/>
      </w:pPr>
      <w:rPr>
        <w:rFonts w:hint="default"/>
      </w:rPr>
    </w:lvl>
    <w:lvl w:ilvl="4">
      <w:start w:val="0"/>
      <w:numFmt w:val="bullet"/>
      <w:lvlText w:val="•"/>
      <w:lvlJc w:val="left"/>
      <w:pPr>
        <w:ind w:left="5356" w:hanging="361"/>
      </w:pPr>
      <w:rPr>
        <w:rFonts w:hint="default"/>
      </w:rPr>
    </w:lvl>
    <w:lvl w:ilvl="5">
      <w:start w:val="0"/>
      <w:numFmt w:val="bullet"/>
      <w:lvlText w:val="•"/>
      <w:lvlJc w:val="left"/>
      <w:pPr>
        <w:ind w:left="6300" w:hanging="361"/>
      </w:pPr>
      <w:rPr>
        <w:rFonts w:hint="default"/>
      </w:rPr>
    </w:lvl>
    <w:lvl w:ilvl="6">
      <w:start w:val="0"/>
      <w:numFmt w:val="bullet"/>
      <w:lvlText w:val="•"/>
      <w:lvlJc w:val="left"/>
      <w:pPr>
        <w:ind w:left="7244" w:hanging="361"/>
      </w:pPr>
      <w:rPr>
        <w:rFonts w:hint="default"/>
      </w:rPr>
    </w:lvl>
    <w:lvl w:ilvl="7">
      <w:start w:val="0"/>
      <w:numFmt w:val="bullet"/>
      <w:lvlText w:val="•"/>
      <w:lvlJc w:val="left"/>
      <w:pPr>
        <w:ind w:left="8188" w:hanging="361"/>
      </w:pPr>
      <w:rPr>
        <w:rFonts w:hint="default"/>
      </w:rPr>
    </w:lvl>
    <w:lvl w:ilvl="8">
      <w:start w:val="0"/>
      <w:numFmt w:val="bullet"/>
      <w:lvlText w:val="•"/>
      <w:lvlJc w:val="left"/>
      <w:pPr>
        <w:ind w:left="9132" w:hanging="361"/>
      </w:pPr>
      <w:rPr>
        <w:rFonts w:hint="default"/>
      </w:rPr>
    </w:lvl>
  </w:abstractNum>
  <w:abstractNum w:abstractNumId="7">
    <w:multiLevelType w:val="hybridMultilevel"/>
    <w:lvl w:ilvl="0">
      <w:start w:val="1"/>
      <w:numFmt w:val="upperLetter"/>
      <w:lvlText w:val="%1."/>
      <w:lvlJc w:val="left"/>
      <w:pPr>
        <w:ind w:left="1580" w:hanging="360"/>
        <w:jc w:val="left"/>
      </w:pPr>
      <w:rPr>
        <w:rFonts w:hint="default" w:ascii="Calibri" w:hAnsi="Calibri" w:eastAsia="Calibri" w:cs="Calibri"/>
        <w:i/>
        <w:spacing w:val="-3"/>
        <w:w w:val="100"/>
        <w:sz w:val="24"/>
        <w:szCs w:val="24"/>
      </w:rPr>
    </w:lvl>
    <w:lvl w:ilvl="1">
      <w:start w:val="1"/>
      <w:numFmt w:val="lowerLetter"/>
      <w:lvlText w:val="%2."/>
      <w:lvlJc w:val="left"/>
      <w:pPr>
        <w:ind w:left="2300" w:hanging="360"/>
        <w:jc w:val="left"/>
      </w:pPr>
      <w:rPr>
        <w:rFonts w:hint="default" w:ascii="Calibri" w:hAnsi="Calibri" w:eastAsia="Calibri" w:cs="Calibri"/>
        <w:spacing w:val="-25"/>
        <w:w w:val="100"/>
        <w:sz w:val="24"/>
        <w:szCs w:val="24"/>
      </w:rPr>
    </w:lvl>
    <w:lvl w:ilvl="2">
      <w:start w:val="0"/>
      <w:numFmt w:val="bullet"/>
      <w:lvlText w:val="•"/>
      <w:lvlJc w:val="left"/>
      <w:pPr>
        <w:ind w:left="3268" w:hanging="360"/>
      </w:pPr>
      <w:rPr>
        <w:rFonts w:hint="default"/>
      </w:rPr>
    </w:lvl>
    <w:lvl w:ilvl="3">
      <w:start w:val="0"/>
      <w:numFmt w:val="bullet"/>
      <w:lvlText w:val="•"/>
      <w:lvlJc w:val="left"/>
      <w:pPr>
        <w:ind w:left="4237" w:hanging="360"/>
      </w:pPr>
      <w:rPr>
        <w:rFonts w:hint="default"/>
      </w:rPr>
    </w:lvl>
    <w:lvl w:ilvl="4">
      <w:start w:val="0"/>
      <w:numFmt w:val="bullet"/>
      <w:lvlText w:val="•"/>
      <w:lvlJc w:val="left"/>
      <w:pPr>
        <w:ind w:left="5206" w:hanging="360"/>
      </w:pPr>
      <w:rPr>
        <w:rFonts w:hint="default"/>
      </w:rPr>
    </w:lvl>
    <w:lvl w:ilvl="5">
      <w:start w:val="0"/>
      <w:numFmt w:val="bullet"/>
      <w:lvlText w:val="•"/>
      <w:lvlJc w:val="left"/>
      <w:pPr>
        <w:ind w:left="6175" w:hanging="360"/>
      </w:pPr>
      <w:rPr>
        <w:rFonts w:hint="default"/>
      </w:rPr>
    </w:lvl>
    <w:lvl w:ilvl="6">
      <w:start w:val="0"/>
      <w:numFmt w:val="bullet"/>
      <w:lvlText w:val="•"/>
      <w:lvlJc w:val="left"/>
      <w:pPr>
        <w:ind w:left="7144" w:hanging="360"/>
      </w:pPr>
      <w:rPr>
        <w:rFonts w:hint="default"/>
      </w:rPr>
    </w:lvl>
    <w:lvl w:ilvl="7">
      <w:start w:val="0"/>
      <w:numFmt w:val="bullet"/>
      <w:lvlText w:val="•"/>
      <w:lvlJc w:val="left"/>
      <w:pPr>
        <w:ind w:left="8113" w:hanging="360"/>
      </w:pPr>
      <w:rPr>
        <w:rFonts w:hint="default"/>
      </w:rPr>
    </w:lvl>
    <w:lvl w:ilvl="8">
      <w:start w:val="0"/>
      <w:numFmt w:val="bullet"/>
      <w:lvlText w:val="•"/>
      <w:lvlJc w:val="left"/>
      <w:pPr>
        <w:ind w:left="9082" w:hanging="360"/>
      </w:pPr>
      <w:rPr>
        <w:rFonts w:hint="default"/>
      </w:rPr>
    </w:lvl>
  </w:abstractNum>
  <w:abstractNum w:abstractNumId="6">
    <w:multiLevelType w:val="hybridMultilevel"/>
    <w:lvl w:ilvl="0">
      <w:start w:val="1"/>
      <w:numFmt w:val="upperLetter"/>
      <w:lvlText w:val="%1."/>
      <w:lvlJc w:val="left"/>
      <w:pPr>
        <w:ind w:left="1580" w:hanging="360"/>
        <w:jc w:val="left"/>
      </w:pPr>
      <w:rPr>
        <w:rFonts w:hint="default" w:ascii="Calibri" w:hAnsi="Calibri" w:eastAsia="Calibri" w:cs="Calibri"/>
        <w:i/>
        <w:spacing w:val="-3"/>
        <w:w w:val="100"/>
        <w:sz w:val="24"/>
        <w:szCs w:val="24"/>
      </w:rPr>
    </w:lvl>
    <w:lvl w:ilvl="1">
      <w:start w:val="1"/>
      <w:numFmt w:val="lowerLetter"/>
      <w:lvlText w:val="%2."/>
      <w:lvlJc w:val="left"/>
      <w:pPr>
        <w:ind w:left="2300" w:hanging="360"/>
        <w:jc w:val="left"/>
      </w:pPr>
      <w:rPr>
        <w:rFonts w:hint="default" w:ascii="Calibri" w:hAnsi="Calibri" w:eastAsia="Calibri" w:cs="Calibri"/>
        <w:spacing w:val="-23"/>
        <w:w w:val="100"/>
        <w:sz w:val="24"/>
        <w:szCs w:val="24"/>
      </w:rPr>
    </w:lvl>
    <w:lvl w:ilvl="2">
      <w:start w:val="0"/>
      <w:numFmt w:val="bullet"/>
      <w:lvlText w:val="•"/>
      <w:lvlJc w:val="left"/>
      <w:pPr>
        <w:ind w:left="3268" w:hanging="360"/>
      </w:pPr>
      <w:rPr>
        <w:rFonts w:hint="default"/>
      </w:rPr>
    </w:lvl>
    <w:lvl w:ilvl="3">
      <w:start w:val="0"/>
      <w:numFmt w:val="bullet"/>
      <w:lvlText w:val="•"/>
      <w:lvlJc w:val="left"/>
      <w:pPr>
        <w:ind w:left="4237" w:hanging="360"/>
      </w:pPr>
      <w:rPr>
        <w:rFonts w:hint="default"/>
      </w:rPr>
    </w:lvl>
    <w:lvl w:ilvl="4">
      <w:start w:val="0"/>
      <w:numFmt w:val="bullet"/>
      <w:lvlText w:val="•"/>
      <w:lvlJc w:val="left"/>
      <w:pPr>
        <w:ind w:left="5206" w:hanging="360"/>
      </w:pPr>
      <w:rPr>
        <w:rFonts w:hint="default"/>
      </w:rPr>
    </w:lvl>
    <w:lvl w:ilvl="5">
      <w:start w:val="0"/>
      <w:numFmt w:val="bullet"/>
      <w:lvlText w:val="•"/>
      <w:lvlJc w:val="left"/>
      <w:pPr>
        <w:ind w:left="6175" w:hanging="360"/>
      </w:pPr>
      <w:rPr>
        <w:rFonts w:hint="default"/>
      </w:rPr>
    </w:lvl>
    <w:lvl w:ilvl="6">
      <w:start w:val="0"/>
      <w:numFmt w:val="bullet"/>
      <w:lvlText w:val="•"/>
      <w:lvlJc w:val="left"/>
      <w:pPr>
        <w:ind w:left="7144" w:hanging="360"/>
      </w:pPr>
      <w:rPr>
        <w:rFonts w:hint="default"/>
      </w:rPr>
    </w:lvl>
    <w:lvl w:ilvl="7">
      <w:start w:val="0"/>
      <w:numFmt w:val="bullet"/>
      <w:lvlText w:val="•"/>
      <w:lvlJc w:val="left"/>
      <w:pPr>
        <w:ind w:left="8113" w:hanging="360"/>
      </w:pPr>
      <w:rPr>
        <w:rFonts w:hint="default"/>
      </w:rPr>
    </w:lvl>
    <w:lvl w:ilvl="8">
      <w:start w:val="0"/>
      <w:numFmt w:val="bullet"/>
      <w:lvlText w:val="•"/>
      <w:lvlJc w:val="left"/>
      <w:pPr>
        <w:ind w:left="9082" w:hanging="360"/>
      </w:pPr>
      <w:rPr>
        <w:rFonts w:hint="default"/>
      </w:rPr>
    </w:lvl>
  </w:abstractNum>
  <w:abstractNum w:abstractNumId="5">
    <w:multiLevelType w:val="hybridMultilevel"/>
    <w:lvl w:ilvl="0">
      <w:start w:val="0"/>
      <w:numFmt w:val="bullet"/>
      <w:lvlText w:val=""/>
      <w:lvlJc w:val="left"/>
      <w:pPr>
        <w:ind w:left="1939" w:hanging="361"/>
      </w:pPr>
      <w:rPr>
        <w:rFonts w:hint="default" w:ascii="Symbol" w:hAnsi="Symbol" w:eastAsia="Symbol" w:cs="Symbol"/>
        <w:w w:val="100"/>
        <w:sz w:val="24"/>
        <w:szCs w:val="24"/>
      </w:rPr>
    </w:lvl>
    <w:lvl w:ilvl="1">
      <w:start w:val="0"/>
      <w:numFmt w:val="bullet"/>
      <w:lvlText w:val="•"/>
      <w:lvlJc w:val="left"/>
      <w:pPr>
        <w:ind w:left="2848" w:hanging="361"/>
      </w:pPr>
      <w:rPr>
        <w:rFonts w:hint="default"/>
      </w:rPr>
    </w:lvl>
    <w:lvl w:ilvl="2">
      <w:start w:val="0"/>
      <w:numFmt w:val="bullet"/>
      <w:lvlText w:val="•"/>
      <w:lvlJc w:val="left"/>
      <w:pPr>
        <w:ind w:left="3756" w:hanging="361"/>
      </w:pPr>
      <w:rPr>
        <w:rFonts w:hint="default"/>
      </w:rPr>
    </w:lvl>
    <w:lvl w:ilvl="3">
      <w:start w:val="0"/>
      <w:numFmt w:val="bullet"/>
      <w:lvlText w:val="•"/>
      <w:lvlJc w:val="left"/>
      <w:pPr>
        <w:ind w:left="4664" w:hanging="361"/>
      </w:pPr>
      <w:rPr>
        <w:rFonts w:hint="default"/>
      </w:rPr>
    </w:lvl>
    <w:lvl w:ilvl="4">
      <w:start w:val="0"/>
      <w:numFmt w:val="bullet"/>
      <w:lvlText w:val="•"/>
      <w:lvlJc w:val="left"/>
      <w:pPr>
        <w:ind w:left="5572" w:hanging="361"/>
      </w:pPr>
      <w:rPr>
        <w:rFonts w:hint="default"/>
      </w:rPr>
    </w:lvl>
    <w:lvl w:ilvl="5">
      <w:start w:val="0"/>
      <w:numFmt w:val="bullet"/>
      <w:lvlText w:val="•"/>
      <w:lvlJc w:val="left"/>
      <w:pPr>
        <w:ind w:left="6480" w:hanging="361"/>
      </w:pPr>
      <w:rPr>
        <w:rFonts w:hint="default"/>
      </w:rPr>
    </w:lvl>
    <w:lvl w:ilvl="6">
      <w:start w:val="0"/>
      <w:numFmt w:val="bullet"/>
      <w:lvlText w:val="•"/>
      <w:lvlJc w:val="left"/>
      <w:pPr>
        <w:ind w:left="7388" w:hanging="361"/>
      </w:pPr>
      <w:rPr>
        <w:rFonts w:hint="default"/>
      </w:rPr>
    </w:lvl>
    <w:lvl w:ilvl="7">
      <w:start w:val="0"/>
      <w:numFmt w:val="bullet"/>
      <w:lvlText w:val="•"/>
      <w:lvlJc w:val="left"/>
      <w:pPr>
        <w:ind w:left="8296" w:hanging="361"/>
      </w:pPr>
      <w:rPr>
        <w:rFonts w:hint="default"/>
      </w:rPr>
    </w:lvl>
    <w:lvl w:ilvl="8">
      <w:start w:val="0"/>
      <w:numFmt w:val="bullet"/>
      <w:lvlText w:val="•"/>
      <w:lvlJc w:val="left"/>
      <w:pPr>
        <w:ind w:left="9204" w:hanging="361"/>
      </w:pPr>
      <w:rPr>
        <w:rFonts w:hint="default"/>
      </w:rPr>
    </w:lvl>
  </w:abstractNum>
  <w:abstractNum w:abstractNumId="4">
    <w:multiLevelType w:val="hybridMultilevel"/>
    <w:lvl w:ilvl="0">
      <w:start w:val="1"/>
      <w:numFmt w:val="lowerLetter"/>
      <w:lvlText w:val="%1."/>
      <w:lvlJc w:val="left"/>
      <w:pPr>
        <w:ind w:left="2300" w:hanging="360"/>
        <w:jc w:val="left"/>
      </w:pPr>
      <w:rPr>
        <w:rFonts w:hint="default" w:ascii="Calibri" w:hAnsi="Calibri" w:eastAsia="Calibri" w:cs="Calibri"/>
        <w:spacing w:val="0"/>
        <w:w w:val="96"/>
        <w:sz w:val="24"/>
        <w:szCs w:val="24"/>
      </w:rPr>
    </w:lvl>
    <w:lvl w:ilvl="1">
      <w:start w:val="0"/>
      <w:numFmt w:val="bullet"/>
      <w:lvlText w:val="•"/>
      <w:lvlJc w:val="left"/>
      <w:pPr>
        <w:ind w:left="3172" w:hanging="360"/>
      </w:pPr>
      <w:rPr>
        <w:rFonts w:hint="default"/>
      </w:rPr>
    </w:lvl>
    <w:lvl w:ilvl="2">
      <w:start w:val="0"/>
      <w:numFmt w:val="bullet"/>
      <w:lvlText w:val="•"/>
      <w:lvlJc w:val="left"/>
      <w:pPr>
        <w:ind w:left="4044" w:hanging="360"/>
      </w:pPr>
      <w:rPr>
        <w:rFonts w:hint="default"/>
      </w:rPr>
    </w:lvl>
    <w:lvl w:ilvl="3">
      <w:start w:val="0"/>
      <w:numFmt w:val="bullet"/>
      <w:lvlText w:val="•"/>
      <w:lvlJc w:val="left"/>
      <w:pPr>
        <w:ind w:left="4916" w:hanging="360"/>
      </w:pPr>
      <w:rPr>
        <w:rFonts w:hint="default"/>
      </w:rPr>
    </w:lvl>
    <w:lvl w:ilvl="4">
      <w:start w:val="0"/>
      <w:numFmt w:val="bullet"/>
      <w:lvlText w:val="•"/>
      <w:lvlJc w:val="left"/>
      <w:pPr>
        <w:ind w:left="5788" w:hanging="360"/>
      </w:pPr>
      <w:rPr>
        <w:rFonts w:hint="default"/>
      </w:rPr>
    </w:lvl>
    <w:lvl w:ilvl="5">
      <w:start w:val="0"/>
      <w:numFmt w:val="bullet"/>
      <w:lvlText w:val="•"/>
      <w:lvlJc w:val="left"/>
      <w:pPr>
        <w:ind w:left="6660" w:hanging="360"/>
      </w:pPr>
      <w:rPr>
        <w:rFonts w:hint="default"/>
      </w:rPr>
    </w:lvl>
    <w:lvl w:ilvl="6">
      <w:start w:val="0"/>
      <w:numFmt w:val="bullet"/>
      <w:lvlText w:val="•"/>
      <w:lvlJc w:val="left"/>
      <w:pPr>
        <w:ind w:left="7532" w:hanging="360"/>
      </w:pPr>
      <w:rPr>
        <w:rFonts w:hint="default"/>
      </w:rPr>
    </w:lvl>
    <w:lvl w:ilvl="7">
      <w:start w:val="0"/>
      <w:numFmt w:val="bullet"/>
      <w:lvlText w:val="•"/>
      <w:lvlJc w:val="left"/>
      <w:pPr>
        <w:ind w:left="8404" w:hanging="360"/>
      </w:pPr>
      <w:rPr>
        <w:rFonts w:hint="default"/>
      </w:rPr>
    </w:lvl>
    <w:lvl w:ilvl="8">
      <w:start w:val="0"/>
      <w:numFmt w:val="bullet"/>
      <w:lvlText w:val="•"/>
      <w:lvlJc w:val="left"/>
      <w:pPr>
        <w:ind w:left="9276" w:hanging="360"/>
      </w:pPr>
      <w:rPr>
        <w:rFonts w:hint="default"/>
      </w:rPr>
    </w:lvl>
  </w:abstractNum>
  <w:abstractNum w:abstractNumId="3">
    <w:multiLevelType w:val="hybridMultilevel"/>
    <w:lvl w:ilvl="0">
      <w:start w:val="37"/>
      <w:numFmt w:val="decimal"/>
      <w:lvlText w:val="(%1)"/>
      <w:lvlJc w:val="left"/>
      <w:pPr>
        <w:ind w:left="860" w:hanging="443"/>
        <w:jc w:val="left"/>
      </w:pPr>
      <w:rPr>
        <w:rFonts w:hint="default" w:ascii="Calibri" w:hAnsi="Calibri" w:eastAsia="Calibri" w:cs="Calibri"/>
        <w:spacing w:val="-1"/>
        <w:w w:val="96"/>
        <w:sz w:val="24"/>
        <w:szCs w:val="24"/>
      </w:rPr>
    </w:lvl>
    <w:lvl w:ilvl="1">
      <w:start w:val="1"/>
      <w:numFmt w:val="lowerLetter"/>
      <w:lvlText w:val="%2."/>
      <w:lvlJc w:val="left"/>
      <w:pPr>
        <w:ind w:left="2300" w:hanging="360"/>
        <w:jc w:val="left"/>
      </w:pPr>
      <w:rPr>
        <w:rFonts w:hint="default" w:ascii="Calibri" w:hAnsi="Calibri" w:eastAsia="Calibri" w:cs="Calibri"/>
        <w:spacing w:val="0"/>
        <w:w w:val="96"/>
        <w:sz w:val="24"/>
        <w:szCs w:val="24"/>
      </w:rPr>
    </w:lvl>
    <w:lvl w:ilvl="2">
      <w:start w:val="0"/>
      <w:numFmt w:val="bullet"/>
      <w:lvlText w:val="•"/>
      <w:lvlJc w:val="left"/>
      <w:pPr>
        <w:ind w:left="3268" w:hanging="360"/>
      </w:pPr>
      <w:rPr>
        <w:rFonts w:hint="default"/>
      </w:rPr>
    </w:lvl>
    <w:lvl w:ilvl="3">
      <w:start w:val="0"/>
      <w:numFmt w:val="bullet"/>
      <w:lvlText w:val="•"/>
      <w:lvlJc w:val="left"/>
      <w:pPr>
        <w:ind w:left="4237" w:hanging="360"/>
      </w:pPr>
      <w:rPr>
        <w:rFonts w:hint="default"/>
      </w:rPr>
    </w:lvl>
    <w:lvl w:ilvl="4">
      <w:start w:val="0"/>
      <w:numFmt w:val="bullet"/>
      <w:lvlText w:val="•"/>
      <w:lvlJc w:val="left"/>
      <w:pPr>
        <w:ind w:left="5206" w:hanging="360"/>
      </w:pPr>
      <w:rPr>
        <w:rFonts w:hint="default"/>
      </w:rPr>
    </w:lvl>
    <w:lvl w:ilvl="5">
      <w:start w:val="0"/>
      <w:numFmt w:val="bullet"/>
      <w:lvlText w:val="•"/>
      <w:lvlJc w:val="left"/>
      <w:pPr>
        <w:ind w:left="6175" w:hanging="360"/>
      </w:pPr>
      <w:rPr>
        <w:rFonts w:hint="default"/>
      </w:rPr>
    </w:lvl>
    <w:lvl w:ilvl="6">
      <w:start w:val="0"/>
      <w:numFmt w:val="bullet"/>
      <w:lvlText w:val="•"/>
      <w:lvlJc w:val="left"/>
      <w:pPr>
        <w:ind w:left="7144" w:hanging="360"/>
      </w:pPr>
      <w:rPr>
        <w:rFonts w:hint="default"/>
      </w:rPr>
    </w:lvl>
    <w:lvl w:ilvl="7">
      <w:start w:val="0"/>
      <w:numFmt w:val="bullet"/>
      <w:lvlText w:val="•"/>
      <w:lvlJc w:val="left"/>
      <w:pPr>
        <w:ind w:left="8113" w:hanging="360"/>
      </w:pPr>
      <w:rPr>
        <w:rFonts w:hint="default"/>
      </w:rPr>
    </w:lvl>
    <w:lvl w:ilvl="8">
      <w:start w:val="0"/>
      <w:numFmt w:val="bullet"/>
      <w:lvlText w:val="•"/>
      <w:lvlJc w:val="left"/>
      <w:pPr>
        <w:ind w:left="9082" w:hanging="360"/>
      </w:pPr>
      <w:rPr>
        <w:rFonts w:hint="default"/>
      </w:rPr>
    </w:lvl>
  </w:abstractNum>
  <w:abstractNum w:abstractNumId="2">
    <w:multiLevelType w:val="hybridMultilevel"/>
    <w:lvl w:ilvl="0">
      <w:start w:val="1"/>
      <w:numFmt w:val="decimal"/>
      <w:lvlText w:val="%1."/>
      <w:lvlJc w:val="left"/>
      <w:pPr>
        <w:ind w:left="1580" w:hanging="360"/>
        <w:jc w:val="left"/>
      </w:pPr>
      <w:rPr>
        <w:rFonts w:hint="default" w:ascii="Calibri" w:hAnsi="Calibri" w:eastAsia="Calibri" w:cs="Calibri"/>
        <w:spacing w:val="-21"/>
        <w:w w:val="100"/>
        <w:sz w:val="24"/>
        <w:szCs w:val="24"/>
      </w:rPr>
    </w:lvl>
    <w:lvl w:ilvl="1">
      <w:start w:val="0"/>
      <w:numFmt w:val="bullet"/>
      <w:lvlText w:val="•"/>
      <w:lvlJc w:val="left"/>
      <w:pPr>
        <w:ind w:left="2524" w:hanging="360"/>
      </w:pPr>
      <w:rPr>
        <w:rFonts w:hint="default"/>
      </w:rPr>
    </w:lvl>
    <w:lvl w:ilvl="2">
      <w:start w:val="0"/>
      <w:numFmt w:val="bullet"/>
      <w:lvlText w:val="•"/>
      <w:lvlJc w:val="left"/>
      <w:pPr>
        <w:ind w:left="3468" w:hanging="360"/>
      </w:pPr>
      <w:rPr>
        <w:rFonts w:hint="default"/>
      </w:rPr>
    </w:lvl>
    <w:lvl w:ilvl="3">
      <w:start w:val="0"/>
      <w:numFmt w:val="bullet"/>
      <w:lvlText w:val="•"/>
      <w:lvlJc w:val="left"/>
      <w:pPr>
        <w:ind w:left="4412" w:hanging="360"/>
      </w:pPr>
      <w:rPr>
        <w:rFonts w:hint="default"/>
      </w:rPr>
    </w:lvl>
    <w:lvl w:ilvl="4">
      <w:start w:val="0"/>
      <w:numFmt w:val="bullet"/>
      <w:lvlText w:val="•"/>
      <w:lvlJc w:val="left"/>
      <w:pPr>
        <w:ind w:left="5356" w:hanging="360"/>
      </w:pPr>
      <w:rPr>
        <w:rFonts w:hint="default"/>
      </w:rPr>
    </w:lvl>
    <w:lvl w:ilvl="5">
      <w:start w:val="0"/>
      <w:numFmt w:val="bullet"/>
      <w:lvlText w:val="•"/>
      <w:lvlJc w:val="left"/>
      <w:pPr>
        <w:ind w:left="6300" w:hanging="360"/>
      </w:pPr>
      <w:rPr>
        <w:rFonts w:hint="default"/>
      </w:rPr>
    </w:lvl>
    <w:lvl w:ilvl="6">
      <w:start w:val="0"/>
      <w:numFmt w:val="bullet"/>
      <w:lvlText w:val="•"/>
      <w:lvlJc w:val="left"/>
      <w:pPr>
        <w:ind w:left="7244" w:hanging="360"/>
      </w:pPr>
      <w:rPr>
        <w:rFonts w:hint="default"/>
      </w:rPr>
    </w:lvl>
    <w:lvl w:ilvl="7">
      <w:start w:val="0"/>
      <w:numFmt w:val="bullet"/>
      <w:lvlText w:val="•"/>
      <w:lvlJc w:val="left"/>
      <w:pPr>
        <w:ind w:left="8188" w:hanging="360"/>
      </w:pPr>
      <w:rPr>
        <w:rFonts w:hint="default"/>
      </w:rPr>
    </w:lvl>
    <w:lvl w:ilvl="8">
      <w:start w:val="0"/>
      <w:numFmt w:val="bullet"/>
      <w:lvlText w:val="•"/>
      <w:lvlJc w:val="left"/>
      <w:pPr>
        <w:ind w:left="9132" w:hanging="360"/>
      </w:pPr>
      <w:rPr>
        <w:rFonts w:hint="default"/>
      </w:rPr>
    </w:lvl>
  </w:abstractNum>
  <w:abstractNum w:abstractNumId="1">
    <w:multiLevelType w:val="hybridMultilevel"/>
    <w:lvl w:ilvl="0">
      <w:start w:val="1"/>
      <w:numFmt w:val="decimal"/>
      <w:lvlText w:val="%1."/>
      <w:lvlJc w:val="left"/>
      <w:pPr>
        <w:ind w:left="1580" w:hanging="360"/>
        <w:jc w:val="left"/>
      </w:pPr>
      <w:rPr>
        <w:rFonts w:hint="default" w:ascii="Calibri" w:hAnsi="Calibri" w:eastAsia="Calibri" w:cs="Calibri"/>
        <w:spacing w:val="-2"/>
        <w:w w:val="100"/>
        <w:sz w:val="24"/>
        <w:szCs w:val="24"/>
      </w:rPr>
    </w:lvl>
    <w:lvl w:ilvl="1">
      <w:start w:val="0"/>
      <w:numFmt w:val="bullet"/>
      <w:lvlText w:val="•"/>
      <w:lvlJc w:val="left"/>
      <w:pPr>
        <w:ind w:left="2524" w:hanging="360"/>
      </w:pPr>
      <w:rPr>
        <w:rFonts w:hint="default"/>
      </w:rPr>
    </w:lvl>
    <w:lvl w:ilvl="2">
      <w:start w:val="0"/>
      <w:numFmt w:val="bullet"/>
      <w:lvlText w:val="•"/>
      <w:lvlJc w:val="left"/>
      <w:pPr>
        <w:ind w:left="3468" w:hanging="360"/>
      </w:pPr>
      <w:rPr>
        <w:rFonts w:hint="default"/>
      </w:rPr>
    </w:lvl>
    <w:lvl w:ilvl="3">
      <w:start w:val="0"/>
      <w:numFmt w:val="bullet"/>
      <w:lvlText w:val="•"/>
      <w:lvlJc w:val="left"/>
      <w:pPr>
        <w:ind w:left="4412" w:hanging="360"/>
      </w:pPr>
      <w:rPr>
        <w:rFonts w:hint="default"/>
      </w:rPr>
    </w:lvl>
    <w:lvl w:ilvl="4">
      <w:start w:val="0"/>
      <w:numFmt w:val="bullet"/>
      <w:lvlText w:val="•"/>
      <w:lvlJc w:val="left"/>
      <w:pPr>
        <w:ind w:left="5356" w:hanging="360"/>
      </w:pPr>
      <w:rPr>
        <w:rFonts w:hint="default"/>
      </w:rPr>
    </w:lvl>
    <w:lvl w:ilvl="5">
      <w:start w:val="0"/>
      <w:numFmt w:val="bullet"/>
      <w:lvlText w:val="•"/>
      <w:lvlJc w:val="left"/>
      <w:pPr>
        <w:ind w:left="6300" w:hanging="360"/>
      </w:pPr>
      <w:rPr>
        <w:rFonts w:hint="default"/>
      </w:rPr>
    </w:lvl>
    <w:lvl w:ilvl="6">
      <w:start w:val="0"/>
      <w:numFmt w:val="bullet"/>
      <w:lvlText w:val="•"/>
      <w:lvlJc w:val="left"/>
      <w:pPr>
        <w:ind w:left="7244" w:hanging="360"/>
      </w:pPr>
      <w:rPr>
        <w:rFonts w:hint="default"/>
      </w:rPr>
    </w:lvl>
    <w:lvl w:ilvl="7">
      <w:start w:val="0"/>
      <w:numFmt w:val="bullet"/>
      <w:lvlText w:val="•"/>
      <w:lvlJc w:val="left"/>
      <w:pPr>
        <w:ind w:left="8188" w:hanging="360"/>
      </w:pPr>
      <w:rPr>
        <w:rFonts w:hint="default"/>
      </w:rPr>
    </w:lvl>
    <w:lvl w:ilvl="8">
      <w:start w:val="0"/>
      <w:numFmt w:val="bullet"/>
      <w:lvlText w:val="•"/>
      <w:lvlJc w:val="left"/>
      <w:pPr>
        <w:ind w:left="9132" w:hanging="360"/>
      </w:pPr>
      <w:rPr>
        <w:rFonts w:hint="default"/>
      </w:rPr>
    </w:lvl>
  </w:abstractNum>
  <w:abstractNum w:abstractNumId="0">
    <w:multiLevelType w:val="hybridMultilevel"/>
    <w:lvl w:ilvl="0">
      <w:start w:val="1"/>
      <w:numFmt w:val="decimal"/>
      <w:lvlText w:val="%1."/>
      <w:lvlJc w:val="left"/>
      <w:pPr>
        <w:ind w:left="1691" w:hanging="360"/>
        <w:jc w:val="left"/>
      </w:pPr>
      <w:rPr>
        <w:rFonts w:hint="default" w:ascii="Calibri" w:hAnsi="Calibri" w:eastAsia="Calibri" w:cs="Calibri"/>
        <w:spacing w:val="-24"/>
        <w:w w:val="100"/>
        <w:sz w:val="24"/>
        <w:szCs w:val="24"/>
      </w:rPr>
    </w:lvl>
    <w:lvl w:ilvl="1">
      <w:start w:val="0"/>
      <w:numFmt w:val="bullet"/>
      <w:lvlText w:val="•"/>
      <w:lvlJc w:val="left"/>
      <w:pPr>
        <w:ind w:left="2632" w:hanging="360"/>
      </w:pPr>
      <w:rPr>
        <w:rFonts w:hint="default"/>
      </w:rPr>
    </w:lvl>
    <w:lvl w:ilvl="2">
      <w:start w:val="0"/>
      <w:numFmt w:val="bullet"/>
      <w:lvlText w:val="•"/>
      <w:lvlJc w:val="left"/>
      <w:pPr>
        <w:ind w:left="3564" w:hanging="360"/>
      </w:pPr>
      <w:rPr>
        <w:rFonts w:hint="default"/>
      </w:rPr>
    </w:lvl>
    <w:lvl w:ilvl="3">
      <w:start w:val="0"/>
      <w:numFmt w:val="bullet"/>
      <w:lvlText w:val="•"/>
      <w:lvlJc w:val="left"/>
      <w:pPr>
        <w:ind w:left="4496" w:hanging="360"/>
      </w:pPr>
      <w:rPr>
        <w:rFonts w:hint="default"/>
      </w:rPr>
    </w:lvl>
    <w:lvl w:ilvl="4">
      <w:start w:val="0"/>
      <w:numFmt w:val="bullet"/>
      <w:lvlText w:val="•"/>
      <w:lvlJc w:val="left"/>
      <w:pPr>
        <w:ind w:left="5428" w:hanging="360"/>
      </w:pPr>
      <w:rPr>
        <w:rFonts w:hint="default"/>
      </w:rPr>
    </w:lvl>
    <w:lvl w:ilvl="5">
      <w:start w:val="0"/>
      <w:numFmt w:val="bullet"/>
      <w:lvlText w:val="•"/>
      <w:lvlJc w:val="left"/>
      <w:pPr>
        <w:ind w:left="6360" w:hanging="360"/>
      </w:pPr>
      <w:rPr>
        <w:rFonts w:hint="default"/>
      </w:rPr>
    </w:lvl>
    <w:lvl w:ilvl="6">
      <w:start w:val="0"/>
      <w:numFmt w:val="bullet"/>
      <w:lvlText w:val="•"/>
      <w:lvlJc w:val="left"/>
      <w:pPr>
        <w:ind w:left="7292" w:hanging="360"/>
      </w:pPr>
      <w:rPr>
        <w:rFonts w:hint="default"/>
      </w:rPr>
    </w:lvl>
    <w:lvl w:ilvl="7">
      <w:start w:val="0"/>
      <w:numFmt w:val="bullet"/>
      <w:lvlText w:val="•"/>
      <w:lvlJc w:val="left"/>
      <w:pPr>
        <w:ind w:left="8224" w:hanging="360"/>
      </w:pPr>
      <w:rPr>
        <w:rFonts w:hint="default"/>
      </w:rPr>
    </w:lvl>
    <w:lvl w:ilvl="8">
      <w:start w:val="0"/>
      <w:numFmt w:val="bullet"/>
      <w:lvlText w:val="•"/>
      <w:lvlJc w:val="left"/>
      <w:pPr>
        <w:ind w:left="9156" w:hanging="360"/>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TOC1" w:type="paragraph">
    <w:name w:val="TOC 1"/>
    <w:basedOn w:val="Normal"/>
    <w:uiPriority w:val="1"/>
    <w:qFormat/>
    <w:pPr>
      <w:spacing w:before="293"/>
      <w:ind w:left="863"/>
    </w:pPr>
    <w:rPr>
      <w:rFonts w:ascii="Calibri" w:hAnsi="Calibri" w:eastAsia="Calibri" w:cs="Calibri"/>
      <w:b/>
      <w:bCs/>
      <w:sz w:val="24"/>
      <w:szCs w:val="24"/>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spacing w:before="1"/>
      <w:ind w:left="837" w:right="667" w:firstLine="187"/>
      <w:outlineLvl w:val="1"/>
    </w:pPr>
    <w:rPr>
      <w:rFonts w:ascii="Calibri" w:hAnsi="Calibri" w:eastAsia="Calibri" w:cs="Calibri"/>
      <w:sz w:val="36"/>
      <w:szCs w:val="36"/>
    </w:rPr>
  </w:style>
  <w:style w:styleId="Heading2" w:type="paragraph">
    <w:name w:val="Heading 2"/>
    <w:basedOn w:val="Normal"/>
    <w:uiPriority w:val="1"/>
    <w:qFormat/>
    <w:pPr>
      <w:ind w:left="865"/>
      <w:outlineLvl w:val="2"/>
    </w:pPr>
    <w:rPr>
      <w:rFonts w:ascii="Calibri" w:hAnsi="Calibri" w:eastAsia="Calibri" w:cs="Calibri"/>
      <w:b/>
      <w:bCs/>
      <w:sz w:val="24"/>
      <w:szCs w:val="24"/>
    </w:rPr>
  </w:style>
  <w:style w:styleId="Heading3" w:type="paragraph">
    <w:name w:val="Heading 3"/>
    <w:basedOn w:val="Normal"/>
    <w:uiPriority w:val="1"/>
    <w:qFormat/>
    <w:pPr>
      <w:ind w:left="863"/>
      <w:outlineLvl w:val="3"/>
    </w:pPr>
    <w:rPr>
      <w:rFonts w:ascii="Calibri" w:hAnsi="Calibri" w:eastAsia="Calibri" w:cs="Calibri"/>
      <w:b/>
      <w:bCs/>
      <w:i/>
      <w:sz w:val="24"/>
      <w:szCs w:val="24"/>
    </w:rPr>
  </w:style>
  <w:style w:styleId="ListParagraph" w:type="paragraph">
    <w:name w:val="List Paragraph"/>
    <w:basedOn w:val="Normal"/>
    <w:uiPriority w:val="1"/>
    <w:qFormat/>
    <w:pPr>
      <w:ind w:left="1939" w:hanging="360"/>
    </w:pPr>
    <w:rPr>
      <w:rFonts w:ascii="Calibri" w:hAnsi="Calibri" w:eastAsia="Calibri" w:cs="Calibri"/>
    </w:rPr>
  </w:style>
  <w:style w:styleId="TableParagraph" w:type="paragraph">
    <w:name w:val="Table Paragraph"/>
    <w:basedOn w:val="Normal"/>
    <w:uiPriority w:val="1"/>
    <w:qFormat/>
    <w:pPr/>
    <w:rPr>
      <w:rFonts w:ascii="Calibri Light" w:hAnsi="Calibri Light" w:eastAsia="Calibri Light" w:cs="Calibri Ligh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www.ets.org/" TargetMode="External"/><Relationship Id="rId8" Type="http://schemas.openxmlformats.org/officeDocument/2006/relationships/hyperlink" Target="http://academics.memphis.edu/gradschool/gradpr1.htm)" TargetMode="External"/><Relationship Id="rId9" Type="http://schemas.openxmlformats.org/officeDocument/2006/relationships/hyperlink" Target="http://bf.memphis.edu/finance/bursar/)" TargetMode="External"/><Relationship Id="rId10" Type="http://schemas.openxmlformats.org/officeDocument/2006/relationships/hyperlink" Target="http://www.memphis.edu/FinancialAid/)" TargetMode="External"/><Relationship Id="rId11" Type="http://schemas.openxmlformats.org/officeDocument/2006/relationships/hyperlink" Target="http://www.memphis.edu/socialwork/graduate/funding.php" TargetMode="External"/><Relationship Id="rId12" Type="http://schemas.openxmlformats.org/officeDocument/2006/relationships/hyperlink" Target="mailto:selswick@memphis.edu" TargetMode="External"/><Relationship Id="rId13" Type="http://schemas.openxmlformats.org/officeDocument/2006/relationships/footer" Target="footer2.xml"/><Relationship Id="rId14" Type="http://schemas.openxmlformats.org/officeDocument/2006/relationships/hyperlink" Target="http://www.memphis.edu/gradschool/faculty_staff/graduate_faculty/gradfaculty.php)" TargetMode="External"/><Relationship Id="rId15" Type="http://schemas.openxmlformats.org/officeDocument/2006/relationships/hyperlink" Target="http://irb.memphis.edu/)" TargetMode="External"/><Relationship Id="rId16" Type="http://schemas.openxmlformats.org/officeDocument/2006/relationships/hyperlink" Target="http://www.memphis.edu/gradschool/resources/forms_index.php)" TargetMode="External"/><Relationship Id="rId17" Type="http://schemas.openxmlformats.org/officeDocument/2006/relationships/hyperlink" Target="http://www.naswassurance.org/malpractice/professional-liability-individuals/)" TargetMode="External"/><Relationship Id="rId18" Type="http://schemas.openxmlformats.org/officeDocument/2006/relationships/hyperlink" Target="http://www.memphis.edu/socialwork/graduate/program-study-plans.php" TargetMode="External"/><Relationship Id="rId19" Type="http://schemas.openxmlformats.org/officeDocument/2006/relationships/hyperlink" Target="http://www.memphis.edu/registrar/calendars/" TargetMode="External"/><Relationship Id="rId20" Type="http://schemas.openxmlformats.org/officeDocument/2006/relationships/hyperlink" Target="http://www.memphis.edu/gradschool/current_students/graduation_information/graduation.php" TargetMode="External"/><Relationship Id="rId21" Type="http://schemas.openxmlformats.org/officeDocument/2006/relationships/hyperlink" Target="http://www.socialworkers.org/pubs/code/default.asp)" TargetMode="External"/><Relationship Id="rId22" Type="http://schemas.openxmlformats.org/officeDocument/2006/relationships/hyperlink" Target="http://www.memphis.edu/studentconduct/pdfs/csrr.pdf)" TargetMode="External"/><Relationship Id="rId23" Type="http://schemas.openxmlformats.org/officeDocument/2006/relationships/hyperlink" Target="http://www.socialworkers.org/" TargetMode="External"/><Relationship Id="rId24" Type="http://schemas.openxmlformats.org/officeDocument/2006/relationships/hyperlink" Target="http://www.tn.gov/health/health-program-areas/health-professional-boards/sw-board.html" TargetMode="External"/><Relationship Id="rId25" Type="http://schemas.openxmlformats.org/officeDocument/2006/relationships/hyperlink" Target="http://www.memphis.edu/registrar/calendars/index.php" TargetMode="External"/><Relationship Id="rId26" Type="http://schemas.openxmlformats.org/officeDocument/2006/relationships/hyperlink" Target="http://bf.memphis.edu/parking/" TargetMode="External"/><Relationship Id="rId27" Type="http://schemas.openxmlformats.org/officeDocument/2006/relationships/hyperlink" Target="http://www.memphis.edu/libraries/" TargetMode="External"/><Relationship Id="rId28" Type="http://schemas.openxmlformats.org/officeDocument/2006/relationships/hyperlink" Target="http://trl.memphis.edu/computerlabs.php" TargetMode="External"/><Relationship Id="rId29" Type="http://schemas.openxmlformats.org/officeDocument/2006/relationships/hyperlink" Target="http://saweb.memphis.edu/health/General_Information/info.htm" TargetMode="External"/><Relationship Id="rId30" Type="http://schemas.openxmlformats.org/officeDocument/2006/relationships/hyperlink" Target="mailto:counseling@memphis.edu" TargetMode="External"/><Relationship Id="rId31" Type="http://schemas.openxmlformats.org/officeDocument/2006/relationships/hyperlink" Target="http://www.memphis.edu/esp/" TargetMode="External"/><Relationship Id="rId32" Type="http://schemas.openxmlformats.org/officeDocument/2006/relationships/hyperlink" Target="http://www.memphis.edu/drs/" TargetMode="External"/><Relationship Id="rId33" Type="http://schemas.openxmlformats.org/officeDocument/2006/relationships/hyperlink" Target="http://www.memphis.edu/safezoneor" TargetMode="External"/><Relationship Id="rId34" Type="http://schemas.openxmlformats.org/officeDocument/2006/relationships/hyperlink" Target="http://cipsweb.memphis.edu/" TargetMode="External"/><Relationship Id="rId35" Type="http://schemas.openxmlformats.org/officeDocument/2006/relationships/hyperlink" Target="http://www.memphis.edu/careerservices/" TargetMode="External"/><Relationship Id="rId36" Type="http://schemas.openxmlformats.org/officeDocument/2006/relationships/hyperlink" Target="http://www.memphis.edu/acss/" TargetMode="External"/><Relationship Id="rId37" Type="http://schemas.openxmlformats.org/officeDocument/2006/relationships/hyperlink" Target="mailto:veterans@memphis.edu" TargetMode="External"/><Relationship Id="rId38" Type="http://schemas.openxmlformats.org/officeDocument/2006/relationships/hyperlink" Target="http://www.memphis.edu/veterans/" TargetMode="External"/><Relationship Id="rId39" Type="http://schemas.openxmlformats.org/officeDocument/2006/relationships/footer" Target="footer3.xml"/><Relationship Id="rId40" Type="http://schemas.openxmlformats.org/officeDocument/2006/relationships/footer" Target="footer4.xml"/><Relationship Id="rId41" Type="http://schemas.openxmlformats.org/officeDocument/2006/relationships/footer" Target="footer5.xml"/><Relationship Id="rId42" Type="http://schemas.openxmlformats.org/officeDocument/2006/relationships/image" Target="media/image2.png"/><Relationship Id="rId43" Type="http://schemas.openxmlformats.org/officeDocument/2006/relationships/footer" Target="footer6.xm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2019-08-12T21:14:48Z</dcterms:created>
  <dcterms:modified xsi:type="dcterms:W3CDTF">2019-08-12T21:14:48Z</dcterms:modified>
</cp:coreProperties>
</file>