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themeColor="background1" w:themeShade="D8"/>
  <w:body>
    <w:p w:rsidR="004A378C" w:rsidRDefault="004A378C" w:rsidP="004A378C">
      <w:pPr>
        <w:keepNext/>
        <w:spacing w:after="0" w:line="360" w:lineRule="auto"/>
        <w:jc w:val="center"/>
      </w:pPr>
      <w:r>
        <w:rPr>
          <w:noProof/>
        </w:rPr>
        <w:drawing>
          <wp:inline distT="0" distB="0" distL="0" distR="0" wp14:anchorId="11C547C4" wp14:editId="585EF5BB">
            <wp:extent cx="4770120" cy="3193330"/>
            <wp:effectExtent l="0" t="0" r="0" b="7620"/>
            <wp:docPr id="5" name="Picture 5" descr="https://isc01.gradimages.com/FileAccess/Assets/RetailWebsiteAsset/LandingPageBody/eb58d79b-6f56-4636-bb4e-75e37bad66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sc01.gradimages.com/FileAccess/Assets/RetailWebsiteAsset/LandingPageBody/eb58d79b-6f56-4636-bb4e-75e37bad66e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88411" cy="3205575"/>
                    </a:xfrm>
                    <a:prstGeom prst="rect">
                      <a:avLst/>
                    </a:prstGeom>
                    <a:noFill/>
                    <a:ln>
                      <a:noFill/>
                    </a:ln>
                  </pic:spPr>
                </pic:pic>
              </a:graphicData>
            </a:graphic>
          </wp:inline>
        </w:drawing>
      </w:r>
    </w:p>
    <w:p w:rsidR="004A378C" w:rsidRDefault="004A378C" w:rsidP="004A378C">
      <w:pPr>
        <w:pStyle w:val="Caption"/>
        <w:jc w:val="center"/>
        <w:rPr>
          <w:b/>
          <w:color w:val="17365D" w:themeColor="text2" w:themeShade="BF"/>
          <w:sz w:val="36"/>
          <w:szCs w:val="36"/>
        </w:rPr>
      </w:pPr>
      <w:r>
        <w:t>Achieve Your Academic Goals with Support from SHS</w:t>
      </w:r>
    </w:p>
    <w:p w:rsidR="004A378C" w:rsidRDefault="004A378C" w:rsidP="00307EE2">
      <w:pPr>
        <w:spacing w:after="0" w:line="360" w:lineRule="auto"/>
        <w:jc w:val="center"/>
        <w:rPr>
          <w:b/>
          <w:color w:val="17365D" w:themeColor="text2" w:themeShade="BF"/>
          <w:sz w:val="36"/>
          <w:szCs w:val="36"/>
        </w:rPr>
      </w:pPr>
    </w:p>
    <w:p w:rsidR="00C02F92" w:rsidRPr="004A378C" w:rsidRDefault="00C02F92" w:rsidP="004A378C">
      <w:pPr>
        <w:pStyle w:val="Title"/>
        <w:jc w:val="center"/>
        <w:rPr>
          <w:color w:val="17365D" w:themeColor="text2" w:themeShade="BF"/>
        </w:rPr>
      </w:pPr>
      <w:r w:rsidRPr="004A378C">
        <w:rPr>
          <w:color w:val="17365D" w:themeColor="text2" w:themeShade="BF"/>
        </w:rPr>
        <w:t>The Students Helping Students Program:</w:t>
      </w:r>
    </w:p>
    <w:p w:rsidR="00C02F92" w:rsidRDefault="00C02F92" w:rsidP="004A378C">
      <w:pPr>
        <w:pStyle w:val="Title"/>
        <w:jc w:val="center"/>
        <w:rPr>
          <w:color w:val="17365D" w:themeColor="text2" w:themeShade="BF"/>
        </w:rPr>
      </w:pPr>
      <w:r w:rsidRPr="004A378C">
        <w:rPr>
          <w:color w:val="17365D" w:themeColor="text2" w:themeShade="BF"/>
        </w:rPr>
        <w:t>‘Response to Intervention’ in Higher Education</w:t>
      </w:r>
    </w:p>
    <w:p w:rsidR="004A378C" w:rsidRPr="004A378C" w:rsidRDefault="004A378C" w:rsidP="004A378C"/>
    <w:p w:rsidR="00C02F92" w:rsidRPr="00DC2B4B" w:rsidRDefault="00C02F92" w:rsidP="00406554">
      <w:pPr>
        <w:spacing w:after="0" w:line="240" w:lineRule="auto"/>
        <w:jc w:val="center"/>
      </w:pPr>
    </w:p>
    <w:p w:rsidR="00C02F92" w:rsidRPr="0077099E" w:rsidRDefault="00C02F92" w:rsidP="00307EE2">
      <w:pPr>
        <w:rPr>
          <w:b/>
          <w:color w:val="17365D" w:themeColor="text2" w:themeShade="BF"/>
        </w:rPr>
      </w:pPr>
      <w:r w:rsidRPr="0077099E">
        <w:rPr>
          <w:b/>
          <w:color w:val="17365D" w:themeColor="text2" w:themeShade="BF"/>
        </w:rPr>
        <w:t xml:space="preserve">What is </w:t>
      </w:r>
      <w:r w:rsidR="00D7404B" w:rsidRPr="0077099E">
        <w:rPr>
          <w:b/>
          <w:color w:val="17365D" w:themeColor="text2" w:themeShade="BF"/>
        </w:rPr>
        <w:t>Students Helping Students</w:t>
      </w:r>
      <w:r w:rsidRPr="0077099E">
        <w:rPr>
          <w:b/>
          <w:color w:val="17365D" w:themeColor="text2" w:themeShade="BF"/>
        </w:rPr>
        <w:t>?</w:t>
      </w:r>
    </w:p>
    <w:p w:rsidR="00406554" w:rsidRPr="00DC2B4B" w:rsidRDefault="00406554" w:rsidP="00307EE2">
      <w:r w:rsidRPr="00DC2B4B">
        <w:rPr>
          <w:color w:val="FF0000"/>
        </w:rPr>
        <w:tab/>
      </w:r>
      <w:r w:rsidR="00D7404B" w:rsidRPr="00DC2B4B">
        <w:t xml:space="preserve">Students Helping Students, SHS, is </w:t>
      </w:r>
      <w:r w:rsidR="004D57E5" w:rsidRPr="00DC2B4B">
        <w:t>a</w:t>
      </w:r>
      <w:r w:rsidR="00D7404B" w:rsidRPr="00DC2B4B">
        <w:t xml:space="preserve"> </w:t>
      </w:r>
      <w:r w:rsidR="004D57E5" w:rsidRPr="00DC2B4B">
        <w:t xml:space="preserve">Tennessee Board of Regents grant funded </w:t>
      </w:r>
      <w:r w:rsidR="00D7404B" w:rsidRPr="00DC2B4B">
        <w:t xml:space="preserve">project that began in the 2014-2015 academic school year.  Undergraduate students are assessed through reading, writing, study skills, and social emotional screeners. SHS features discipline specific individual or group mentoring provided by Masters-level social work students to at-risk undergraduate social work students. Undergraduate students who participate in the program receive screenings in writing skills, organization skills, study skills, stress, and social emotional support needs. If deficits are identified, the students are offered individual and/or group programming tailored to the student’s specific needs.  Continuous assessments are conducted to ensure that the students benefit from the programming as well as that programming only continues until the student’s needs are met. Weekly group or individual meetings offer an interactive atmosphere for this 12 week program modeled after the RTI instructional process. </w:t>
      </w:r>
    </w:p>
    <w:p w:rsidR="00406554" w:rsidRPr="0077099E" w:rsidRDefault="002F79E8" w:rsidP="00307EE2">
      <w:pPr>
        <w:rPr>
          <w:b/>
          <w:color w:val="17365D" w:themeColor="text2" w:themeShade="BF"/>
        </w:rPr>
      </w:pPr>
      <w:r w:rsidRPr="0077099E">
        <w:rPr>
          <w:b/>
          <w:color w:val="17365D" w:themeColor="text2" w:themeShade="BF"/>
        </w:rPr>
        <w:lastRenderedPageBreak/>
        <w:t>Program</w:t>
      </w:r>
      <w:r w:rsidR="00406554" w:rsidRPr="0077099E">
        <w:rPr>
          <w:b/>
          <w:color w:val="17365D" w:themeColor="text2" w:themeShade="BF"/>
        </w:rPr>
        <w:t xml:space="preserve"> Goals</w:t>
      </w:r>
    </w:p>
    <w:p w:rsidR="00406554" w:rsidRPr="00DC2B4B" w:rsidRDefault="00406554" w:rsidP="00406554">
      <w:pPr>
        <w:pStyle w:val="ListParagraph"/>
        <w:numPr>
          <w:ilvl w:val="0"/>
          <w:numId w:val="4"/>
        </w:numPr>
        <w:rPr>
          <w:rFonts w:asciiTheme="minorHAnsi" w:hAnsiTheme="minorHAnsi"/>
          <w:sz w:val="22"/>
        </w:rPr>
      </w:pPr>
      <w:r w:rsidRPr="00DC2B4B">
        <w:rPr>
          <w:rFonts w:asciiTheme="minorHAnsi" w:hAnsiTheme="minorHAnsi"/>
          <w:sz w:val="22"/>
        </w:rPr>
        <w:t>Improve retention rate</w:t>
      </w:r>
    </w:p>
    <w:p w:rsidR="00406554" w:rsidRPr="00DC2B4B" w:rsidRDefault="00406554" w:rsidP="00406554">
      <w:pPr>
        <w:pStyle w:val="ListParagraph"/>
        <w:numPr>
          <w:ilvl w:val="0"/>
          <w:numId w:val="4"/>
        </w:numPr>
        <w:rPr>
          <w:rFonts w:asciiTheme="minorHAnsi" w:hAnsiTheme="minorHAnsi"/>
          <w:sz w:val="22"/>
        </w:rPr>
      </w:pPr>
      <w:r w:rsidRPr="00DC2B4B">
        <w:rPr>
          <w:rFonts w:asciiTheme="minorHAnsi" w:hAnsiTheme="minorHAnsi"/>
          <w:sz w:val="22"/>
        </w:rPr>
        <w:t>Accelerated progression to graduation</w:t>
      </w:r>
    </w:p>
    <w:p w:rsidR="00406554" w:rsidRPr="00DC2B4B" w:rsidRDefault="00406554" w:rsidP="002F79E8">
      <w:pPr>
        <w:pStyle w:val="ListParagraph"/>
        <w:numPr>
          <w:ilvl w:val="0"/>
          <w:numId w:val="4"/>
        </w:numPr>
        <w:rPr>
          <w:rFonts w:asciiTheme="minorHAnsi" w:hAnsiTheme="minorHAnsi"/>
          <w:sz w:val="22"/>
        </w:rPr>
      </w:pPr>
      <w:r w:rsidRPr="00DC2B4B">
        <w:rPr>
          <w:rFonts w:asciiTheme="minorHAnsi" w:hAnsiTheme="minorHAnsi"/>
          <w:sz w:val="22"/>
        </w:rPr>
        <w:t>Improve rates of progression to the Masters of Social Work program</w:t>
      </w:r>
    </w:p>
    <w:p w:rsidR="002F79E8" w:rsidRPr="00DC2B4B" w:rsidRDefault="002F79E8" w:rsidP="002F79E8">
      <w:pPr>
        <w:pStyle w:val="ListParagraph"/>
        <w:numPr>
          <w:ilvl w:val="0"/>
          <w:numId w:val="4"/>
        </w:numPr>
        <w:rPr>
          <w:rFonts w:asciiTheme="minorHAnsi" w:hAnsiTheme="minorHAnsi"/>
          <w:sz w:val="22"/>
        </w:rPr>
      </w:pPr>
      <w:r w:rsidRPr="00DC2B4B">
        <w:rPr>
          <w:rFonts w:asciiTheme="minorHAnsi" w:hAnsiTheme="minorHAnsi"/>
          <w:sz w:val="22"/>
        </w:rPr>
        <w:t>Increase undergraduate students’ writing skills, reading fluency skills, and study skills</w:t>
      </w:r>
    </w:p>
    <w:p w:rsidR="002F79E8" w:rsidRPr="00DC2B4B" w:rsidRDefault="002F79E8" w:rsidP="002F79E8">
      <w:pPr>
        <w:pStyle w:val="ListParagraph"/>
        <w:numPr>
          <w:ilvl w:val="0"/>
          <w:numId w:val="4"/>
        </w:numPr>
        <w:rPr>
          <w:rFonts w:asciiTheme="minorHAnsi" w:hAnsiTheme="minorHAnsi"/>
          <w:sz w:val="22"/>
        </w:rPr>
      </w:pPr>
      <w:r w:rsidRPr="00DC2B4B">
        <w:rPr>
          <w:rFonts w:asciiTheme="minorHAnsi" w:hAnsiTheme="minorHAnsi"/>
          <w:sz w:val="22"/>
        </w:rPr>
        <w:t xml:space="preserve">Reduce undergraduate students’ stress and increase coping skills </w:t>
      </w:r>
    </w:p>
    <w:p w:rsidR="00DC2B4B" w:rsidRPr="00DC2B4B" w:rsidRDefault="00DC2B4B" w:rsidP="00DC2B4B">
      <w:pPr>
        <w:spacing w:after="0" w:line="240" w:lineRule="auto"/>
        <w:jc w:val="both"/>
        <w:rPr>
          <w:color w:val="FF0000"/>
        </w:rPr>
      </w:pPr>
    </w:p>
    <w:p w:rsidR="00DC2B4B" w:rsidRPr="0077099E" w:rsidRDefault="00DC2B4B" w:rsidP="00DC2B4B">
      <w:pPr>
        <w:spacing w:line="240" w:lineRule="auto"/>
        <w:rPr>
          <w:b/>
          <w:color w:val="17365D" w:themeColor="text2" w:themeShade="BF"/>
        </w:rPr>
      </w:pPr>
      <w:r w:rsidRPr="0077099E">
        <w:rPr>
          <w:b/>
          <w:color w:val="17365D" w:themeColor="text2" w:themeShade="BF"/>
        </w:rPr>
        <w:t>Referral Process</w:t>
      </w:r>
    </w:p>
    <w:p w:rsidR="00DC2B4B" w:rsidRPr="004A378C" w:rsidRDefault="00DC2B4B" w:rsidP="004A378C">
      <w:pPr>
        <w:pStyle w:val="ListParagraph"/>
        <w:numPr>
          <w:ilvl w:val="0"/>
          <w:numId w:val="13"/>
        </w:numPr>
        <w:ind w:left="1080"/>
        <w:rPr>
          <w:rFonts w:asciiTheme="minorHAnsi" w:hAnsiTheme="minorHAnsi"/>
          <w:sz w:val="22"/>
          <w:szCs w:val="22"/>
        </w:rPr>
      </w:pPr>
      <w:r w:rsidRPr="004A378C">
        <w:rPr>
          <w:rFonts w:asciiTheme="minorHAnsi" w:hAnsiTheme="minorHAnsi"/>
          <w:sz w:val="22"/>
          <w:szCs w:val="22"/>
        </w:rPr>
        <w:t>Self-referral: email us or come by to set up an appointment for a screening</w:t>
      </w:r>
    </w:p>
    <w:p w:rsidR="00DC2B4B" w:rsidRPr="004A378C" w:rsidRDefault="00DC2B4B" w:rsidP="004A378C">
      <w:pPr>
        <w:pStyle w:val="ListParagraph"/>
        <w:numPr>
          <w:ilvl w:val="0"/>
          <w:numId w:val="13"/>
        </w:numPr>
        <w:ind w:left="1080"/>
        <w:rPr>
          <w:rFonts w:asciiTheme="minorHAnsi" w:hAnsiTheme="minorHAnsi"/>
          <w:sz w:val="22"/>
          <w:szCs w:val="22"/>
        </w:rPr>
      </w:pPr>
      <w:r w:rsidRPr="004A378C">
        <w:rPr>
          <w:rFonts w:asciiTheme="minorHAnsi" w:hAnsiTheme="minorHAnsi"/>
          <w:sz w:val="22"/>
          <w:szCs w:val="22"/>
        </w:rPr>
        <w:t>Advisors: Advisors have the ability to refer any student they feel would benefit from SHS services</w:t>
      </w:r>
    </w:p>
    <w:p w:rsidR="006571D5" w:rsidRPr="006571D5" w:rsidRDefault="006571D5" w:rsidP="006571D5">
      <w:pPr>
        <w:pStyle w:val="ListParagraph"/>
        <w:ind w:left="990"/>
        <w:rPr>
          <w:rFonts w:asciiTheme="minorHAnsi" w:hAnsiTheme="minorHAnsi"/>
        </w:rPr>
      </w:pPr>
    </w:p>
    <w:p w:rsidR="00DC2B4B" w:rsidRPr="0077099E" w:rsidRDefault="00DC2B4B" w:rsidP="006571D5">
      <w:pPr>
        <w:spacing w:after="0"/>
        <w:rPr>
          <w:b/>
          <w:color w:val="17365D" w:themeColor="text2" w:themeShade="BF"/>
        </w:rPr>
      </w:pPr>
      <w:r w:rsidRPr="0077099E">
        <w:rPr>
          <w:b/>
          <w:color w:val="17365D" w:themeColor="text2" w:themeShade="BF"/>
        </w:rPr>
        <w:t>Groups and Individual Sessions</w:t>
      </w:r>
    </w:p>
    <w:p w:rsidR="006571D5" w:rsidRPr="00DC2B4B" w:rsidRDefault="006571D5" w:rsidP="006571D5">
      <w:pPr>
        <w:spacing w:after="0"/>
        <w:rPr>
          <w:color w:val="FF0000"/>
        </w:rPr>
      </w:pPr>
    </w:p>
    <w:p w:rsidR="006571D5" w:rsidRDefault="00DC2B4B" w:rsidP="006571D5">
      <w:pPr>
        <w:spacing w:after="0"/>
      </w:pPr>
      <w:r>
        <w:tab/>
        <w:t xml:space="preserve">SHS uses a 12 week curriculum </w:t>
      </w:r>
      <w:r w:rsidR="006571D5">
        <w:t xml:space="preserve">that focuses on educational skills and social emotional skills.  </w:t>
      </w:r>
    </w:p>
    <w:p w:rsidR="006571D5" w:rsidRPr="00DC2B4B" w:rsidRDefault="006571D5" w:rsidP="006571D5">
      <w:pPr>
        <w:spacing w:after="0"/>
      </w:pPr>
    </w:p>
    <w:p w:rsidR="00307EE2" w:rsidRPr="0077099E" w:rsidRDefault="00307EE2" w:rsidP="00307EE2">
      <w:pPr>
        <w:rPr>
          <w:b/>
          <w:color w:val="17365D" w:themeColor="text2" w:themeShade="BF"/>
        </w:rPr>
      </w:pPr>
      <w:r w:rsidRPr="0077099E">
        <w:rPr>
          <w:b/>
          <w:color w:val="17365D" w:themeColor="text2" w:themeShade="BF"/>
        </w:rPr>
        <w:t>Current Program Findings</w:t>
      </w:r>
    </w:p>
    <w:p w:rsidR="00406554" w:rsidRPr="00DC2B4B" w:rsidRDefault="00307EE2" w:rsidP="00307EE2">
      <w:r w:rsidRPr="00DC2B4B">
        <w:tab/>
        <w:t>The study participant’s results indicated success in the short-term goals of improved writing skills, study skills, reading fluency, coping skills, and reduced stress. Additional data identifying the program’s effectiveness and the long-term goals of improving retention and accelerated progression to graduation, and improved rates of progression to the master’s program are currently being gathered.</w:t>
      </w:r>
    </w:p>
    <w:p w:rsidR="00406554" w:rsidRPr="0077099E" w:rsidRDefault="00307EE2" w:rsidP="00307EE2">
      <w:pPr>
        <w:rPr>
          <w:b/>
          <w:color w:val="17365D" w:themeColor="text2" w:themeShade="BF"/>
        </w:rPr>
      </w:pPr>
      <w:r w:rsidRPr="0077099E">
        <w:rPr>
          <w:b/>
          <w:color w:val="17365D" w:themeColor="text2" w:themeShade="BF"/>
        </w:rPr>
        <w:t xml:space="preserve">Current Graduation Statistics </w:t>
      </w:r>
    </w:p>
    <w:p w:rsidR="005B075F" w:rsidRPr="00DC2B4B" w:rsidRDefault="004D57E5" w:rsidP="00406554">
      <w:pPr>
        <w:numPr>
          <w:ilvl w:val="0"/>
          <w:numId w:val="1"/>
        </w:numPr>
        <w:spacing w:after="0"/>
      </w:pPr>
      <w:r w:rsidRPr="00DC2B4B">
        <w:t>Currently, only 55.7% of college students who enter four year institutions graduate within six years (</w:t>
      </w:r>
      <w:proofErr w:type="spellStart"/>
      <w:r w:rsidRPr="00DC2B4B">
        <w:t>Ginder</w:t>
      </w:r>
      <w:proofErr w:type="spellEnd"/>
      <w:r w:rsidRPr="00DC2B4B">
        <w:t xml:space="preserve"> &amp; Kelly-Reid, 2013).</w:t>
      </w:r>
    </w:p>
    <w:p w:rsidR="00406554" w:rsidRPr="00DC2B4B" w:rsidRDefault="00406554" w:rsidP="00406554">
      <w:pPr>
        <w:pStyle w:val="ListParagraph"/>
        <w:numPr>
          <w:ilvl w:val="0"/>
          <w:numId w:val="1"/>
        </w:numPr>
        <w:rPr>
          <w:rFonts w:asciiTheme="minorHAnsi" w:hAnsiTheme="minorHAnsi"/>
          <w:sz w:val="22"/>
        </w:rPr>
      </w:pPr>
      <w:r w:rsidRPr="00DC2B4B">
        <w:rPr>
          <w:rFonts w:asciiTheme="minorHAnsi" w:eastAsiaTheme="minorEastAsia" w:hAnsiTheme="minorHAnsi"/>
          <w:sz w:val="22"/>
        </w:rPr>
        <w:t>Without adequate preparation and supports, students are at risk for drop out or delayed graduation</w:t>
      </w:r>
    </w:p>
    <w:p w:rsidR="00307EE2" w:rsidRPr="00DC2B4B" w:rsidRDefault="00307EE2" w:rsidP="00406554">
      <w:pPr>
        <w:pStyle w:val="ListParagraph"/>
        <w:numPr>
          <w:ilvl w:val="0"/>
          <w:numId w:val="1"/>
        </w:numPr>
        <w:rPr>
          <w:rFonts w:asciiTheme="minorHAnsi" w:hAnsiTheme="minorHAnsi"/>
          <w:sz w:val="22"/>
        </w:rPr>
      </w:pPr>
      <w:r w:rsidRPr="00DC2B4B">
        <w:rPr>
          <w:rFonts w:asciiTheme="minorHAnsi" w:hAnsiTheme="minorHAnsi"/>
          <w:sz w:val="22"/>
        </w:rPr>
        <w:t>One study of attrition found that colleges and universities collectively lose $16.5 billion in revenue due to attrition (</w:t>
      </w:r>
      <w:proofErr w:type="spellStart"/>
      <w:r w:rsidRPr="00DC2B4B">
        <w:rPr>
          <w:rFonts w:asciiTheme="minorHAnsi" w:hAnsiTheme="minorHAnsi"/>
          <w:sz w:val="22"/>
        </w:rPr>
        <w:t>Raisman</w:t>
      </w:r>
      <w:proofErr w:type="spellEnd"/>
      <w:r w:rsidRPr="00DC2B4B">
        <w:rPr>
          <w:rFonts w:asciiTheme="minorHAnsi" w:hAnsiTheme="minorHAnsi"/>
          <w:sz w:val="22"/>
        </w:rPr>
        <w:t xml:space="preserve">, 2013).  </w:t>
      </w:r>
    </w:p>
    <w:p w:rsidR="00307EE2" w:rsidRPr="00DC2B4B" w:rsidRDefault="00307EE2" w:rsidP="00406554">
      <w:pPr>
        <w:pStyle w:val="ListParagraph"/>
        <w:numPr>
          <w:ilvl w:val="0"/>
          <w:numId w:val="1"/>
        </w:numPr>
        <w:rPr>
          <w:rFonts w:asciiTheme="minorHAnsi" w:hAnsiTheme="minorHAnsi"/>
          <w:sz w:val="22"/>
        </w:rPr>
      </w:pPr>
      <w:r w:rsidRPr="00DC2B4B">
        <w:rPr>
          <w:rFonts w:asciiTheme="minorHAnsi" w:hAnsiTheme="minorHAnsi"/>
          <w:sz w:val="22"/>
        </w:rPr>
        <w:t>Six-year graduation rates for African American and Latino students are only 37.4% and 48.3% respectively (</w:t>
      </w:r>
      <w:proofErr w:type="spellStart"/>
      <w:r w:rsidRPr="00DC2B4B">
        <w:rPr>
          <w:rFonts w:asciiTheme="minorHAnsi" w:hAnsiTheme="minorHAnsi"/>
          <w:sz w:val="22"/>
        </w:rPr>
        <w:t>Ginder</w:t>
      </w:r>
      <w:proofErr w:type="spellEnd"/>
      <w:r w:rsidRPr="00DC2B4B">
        <w:rPr>
          <w:rFonts w:asciiTheme="minorHAnsi" w:hAnsiTheme="minorHAnsi"/>
          <w:sz w:val="22"/>
        </w:rPr>
        <w:t xml:space="preserve"> &amp; Kelly-Reid, 2013).</w:t>
      </w:r>
    </w:p>
    <w:p w:rsidR="00307EE2" w:rsidRPr="00DC2B4B" w:rsidRDefault="00307EE2" w:rsidP="00406554">
      <w:pPr>
        <w:pStyle w:val="ListParagraph"/>
        <w:numPr>
          <w:ilvl w:val="0"/>
          <w:numId w:val="1"/>
        </w:numPr>
        <w:rPr>
          <w:rFonts w:asciiTheme="minorHAnsi" w:hAnsiTheme="minorHAnsi"/>
          <w:sz w:val="22"/>
        </w:rPr>
      </w:pPr>
      <w:r w:rsidRPr="00DC2B4B">
        <w:rPr>
          <w:rFonts w:asciiTheme="minorHAnsi" w:hAnsiTheme="minorHAnsi"/>
          <w:sz w:val="22"/>
        </w:rPr>
        <w:t xml:space="preserve">Dennis, </w:t>
      </w:r>
      <w:proofErr w:type="spellStart"/>
      <w:r w:rsidRPr="00DC2B4B">
        <w:rPr>
          <w:rFonts w:asciiTheme="minorHAnsi" w:hAnsiTheme="minorHAnsi"/>
          <w:sz w:val="22"/>
        </w:rPr>
        <w:t>Calvillo</w:t>
      </w:r>
      <w:proofErr w:type="spellEnd"/>
      <w:r w:rsidRPr="00DC2B4B">
        <w:rPr>
          <w:rFonts w:asciiTheme="minorHAnsi" w:hAnsiTheme="minorHAnsi"/>
          <w:sz w:val="22"/>
        </w:rPr>
        <w:t xml:space="preserve">, and Gonzalez (2008) found that low social support, low self-confidence, low commitment to school, or a history of low achievement contribute to risk for ethnically diverse students. </w:t>
      </w:r>
    </w:p>
    <w:p w:rsidR="00307EE2" w:rsidRPr="00DC2B4B" w:rsidRDefault="00307EE2" w:rsidP="00406554">
      <w:pPr>
        <w:pStyle w:val="ListParagraph"/>
        <w:numPr>
          <w:ilvl w:val="0"/>
          <w:numId w:val="1"/>
        </w:numPr>
        <w:rPr>
          <w:rFonts w:asciiTheme="minorHAnsi" w:hAnsiTheme="minorHAnsi"/>
          <w:sz w:val="22"/>
        </w:rPr>
      </w:pPr>
      <w:r w:rsidRPr="00DC2B4B">
        <w:rPr>
          <w:rFonts w:asciiTheme="minorHAnsi" w:hAnsiTheme="minorHAnsi"/>
          <w:sz w:val="22"/>
        </w:rPr>
        <w:t xml:space="preserve">In a study of African American college students at a traditionally white university, </w:t>
      </w:r>
      <w:proofErr w:type="spellStart"/>
      <w:r w:rsidRPr="00DC2B4B">
        <w:rPr>
          <w:rFonts w:asciiTheme="minorHAnsi" w:hAnsiTheme="minorHAnsi"/>
          <w:sz w:val="22"/>
        </w:rPr>
        <w:t>Schwitzer</w:t>
      </w:r>
      <w:proofErr w:type="spellEnd"/>
      <w:r w:rsidRPr="00DC2B4B">
        <w:rPr>
          <w:rFonts w:asciiTheme="minorHAnsi" w:hAnsiTheme="minorHAnsi"/>
          <w:sz w:val="22"/>
        </w:rPr>
        <w:t xml:space="preserve">, Griffin, </w:t>
      </w:r>
      <w:proofErr w:type="spellStart"/>
      <w:r w:rsidRPr="00DC2B4B">
        <w:rPr>
          <w:rFonts w:asciiTheme="minorHAnsi" w:hAnsiTheme="minorHAnsi"/>
          <w:sz w:val="22"/>
        </w:rPr>
        <w:t>Ancis</w:t>
      </w:r>
      <w:proofErr w:type="spellEnd"/>
      <w:r w:rsidRPr="00DC2B4B">
        <w:rPr>
          <w:rFonts w:asciiTheme="minorHAnsi" w:hAnsiTheme="minorHAnsi"/>
          <w:sz w:val="22"/>
        </w:rPr>
        <w:t xml:space="preserve">, and Thomas (1999) found that students experienced a sense of </w:t>
      </w:r>
      <w:proofErr w:type="spellStart"/>
      <w:r w:rsidRPr="00DC2B4B">
        <w:rPr>
          <w:rFonts w:asciiTheme="minorHAnsi" w:hAnsiTheme="minorHAnsi"/>
          <w:sz w:val="22"/>
        </w:rPr>
        <w:t>underrepresentedness</w:t>
      </w:r>
      <w:proofErr w:type="spellEnd"/>
      <w:r w:rsidRPr="00DC2B4B">
        <w:rPr>
          <w:rFonts w:asciiTheme="minorHAnsi" w:hAnsiTheme="minorHAnsi"/>
          <w:sz w:val="22"/>
        </w:rPr>
        <w:t xml:space="preserve">, direct perceptions of racism, and hurdles around approaching faculty. </w:t>
      </w:r>
    </w:p>
    <w:p w:rsidR="00307EE2" w:rsidRPr="00DC2B4B" w:rsidRDefault="00307EE2" w:rsidP="00406554">
      <w:pPr>
        <w:pStyle w:val="ListParagraph"/>
        <w:numPr>
          <w:ilvl w:val="0"/>
          <w:numId w:val="1"/>
        </w:numPr>
        <w:rPr>
          <w:rFonts w:asciiTheme="minorHAnsi" w:hAnsiTheme="minorHAnsi"/>
          <w:sz w:val="22"/>
        </w:rPr>
      </w:pPr>
      <w:r w:rsidRPr="00DC2B4B">
        <w:rPr>
          <w:rFonts w:asciiTheme="minorHAnsi" w:hAnsiTheme="minorHAnsi"/>
          <w:sz w:val="22"/>
        </w:rPr>
        <w:t>The study sought to use the RtI model to address the academic and social emotional needs of undergraduate students and improve retention, progression, and graduation rates.</w:t>
      </w:r>
    </w:p>
    <w:p w:rsidR="00C02F92" w:rsidRPr="00DC2B4B" w:rsidRDefault="00C02F92" w:rsidP="00406554">
      <w:pPr>
        <w:spacing w:after="0"/>
      </w:pPr>
    </w:p>
    <w:p w:rsidR="0077099E" w:rsidRDefault="0077099E">
      <w:pPr>
        <w:rPr>
          <w:b/>
          <w:color w:val="17365D" w:themeColor="text2" w:themeShade="BF"/>
        </w:rPr>
      </w:pPr>
      <w:r>
        <w:rPr>
          <w:b/>
          <w:color w:val="17365D" w:themeColor="text2" w:themeShade="BF"/>
        </w:rPr>
        <w:br w:type="page"/>
      </w:r>
    </w:p>
    <w:p w:rsidR="00307EE2" w:rsidRPr="0077099E" w:rsidRDefault="00307EE2" w:rsidP="00406554">
      <w:pPr>
        <w:spacing w:after="0"/>
        <w:rPr>
          <w:b/>
          <w:color w:val="17365D" w:themeColor="text2" w:themeShade="BF"/>
        </w:rPr>
      </w:pPr>
      <w:r w:rsidRPr="0077099E">
        <w:rPr>
          <w:b/>
          <w:color w:val="17365D" w:themeColor="text2" w:themeShade="BF"/>
        </w:rPr>
        <w:lastRenderedPageBreak/>
        <w:t xml:space="preserve">Significance to Social Work </w:t>
      </w:r>
    </w:p>
    <w:p w:rsidR="00307EE2" w:rsidRPr="00DC2B4B" w:rsidRDefault="00307EE2" w:rsidP="00406554">
      <w:pPr>
        <w:spacing w:after="0"/>
      </w:pPr>
    </w:p>
    <w:p w:rsidR="004D57E5" w:rsidRPr="00DC2B4B" w:rsidRDefault="00307EE2" w:rsidP="00DC2B4B">
      <w:pPr>
        <w:ind w:firstLine="720"/>
      </w:pPr>
      <w:r w:rsidRPr="00DC2B4B">
        <w:t>This study represented both a significant contribution to knowledge and a potential solution to the practical problem of college student retention. This pilot study is conducted with social work students. Social work majors are an ideal population for piloting such an intervention because they are a diverse group of students with many risk factors for drop out. Of the current social work majors at the University of Memphis, 84 percent are non-traditional age (mean 29.5), 76 percent are African-American or Latino, and 90 percent are women (Office of Institutional Research, 2013a). The average ACT composite score for new social work majors over the last three years was 19.12 compared to 22.24 for the entire University. The mean family income for new social work majors was $48,299.01 compared to $75,614.40 for the entire University (Office of Institutional Research, 2013b).</w:t>
      </w:r>
    </w:p>
    <w:p w:rsidR="004D57E5" w:rsidRPr="0077099E" w:rsidRDefault="004D57E5" w:rsidP="004D57E5">
      <w:pPr>
        <w:rPr>
          <w:b/>
          <w:color w:val="FF0000"/>
        </w:rPr>
      </w:pPr>
      <w:r w:rsidRPr="0077099E">
        <w:rPr>
          <w:b/>
          <w:color w:val="17365D" w:themeColor="text2" w:themeShade="BF"/>
        </w:rPr>
        <w:t>Faculty</w:t>
      </w:r>
      <w:r w:rsidRPr="0077099E">
        <w:rPr>
          <w:b/>
          <w:color w:val="FF0000"/>
        </w:rPr>
        <w:t xml:space="preserve"> </w:t>
      </w:r>
    </w:p>
    <w:p w:rsidR="004D57E5" w:rsidRPr="00DC2B4B" w:rsidRDefault="004D57E5" w:rsidP="004D57E5">
      <w:pPr>
        <w:spacing w:after="0"/>
      </w:pPr>
      <w:r w:rsidRPr="00DC2B4B">
        <w:tab/>
      </w:r>
      <w:hyperlink r:id="rId6" w:history="1">
        <w:r w:rsidRPr="004A378C">
          <w:rPr>
            <w:rStyle w:val="Hyperlink"/>
          </w:rPr>
          <w:t>Gregory Washington</w:t>
        </w:r>
      </w:hyperlink>
      <w:r w:rsidRPr="00DC2B4B">
        <w:t>, Principle Investigator (Project Director)</w:t>
      </w:r>
    </w:p>
    <w:p w:rsidR="004D57E5" w:rsidRPr="00DC2B4B" w:rsidRDefault="004D57E5" w:rsidP="004D57E5">
      <w:pPr>
        <w:spacing w:after="0"/>
      </w:pPr>
      <w:r w:rsidRPr="00DC2B4B">
        <w:tab/>
      </w:r>
      <w:hyperlink r:id="rId7" w:history="1">
        <w:r w:rsidRPr="004A378C">
          <w:rPr>
            <w:rStyle w:val="Hyperlink"/>
          </w:rPr>
          <w:t>Susan Neely-Barnes</w:t>
        </w:r>
      </w:hyperlink>
      <w:r w:rsidRPr="00DC2B4B">
        <w:t>, Co- Principle Investigator</w:t>
      </w:r>
    </w:p>
    <w:p w:rsidR="004D57E5" w:rsidRPr="00DC2B4B" w:rsidRDefault="004D57E5" w:rsidP="004D57E5">
      <w:pPr>
        <w:spacing w:after="0"/>
      </w:pPr>
      <w:r w:rsidRPr="00DC2B4B">
        <w:tab/>
      </w:r>
      <w:hyperlink r:id="rId8" w:history="1">
        <w:r w:rsidRPr="004A378C">
          <w:rPr>
            <w:rStyle w:val="Hyperlink"/>
          </w:rPr>
          <w:t>Susan Elswick</w:t>
        </w:r>
      </w:hyperlink>
      <w:r w:rsidRPr="00DC2B4B">
        <w:t>, Co- Principle Investigator</w:t>
      </w:r>
    </w:p>
    <w:p w:rsidR="004D57E5" w:rsidRPr="0077099E" w:rsidRDefault="004D57E5" w:rsidP="004D57E5">
      <w:pPr>
        <w:spacing w:after="0"/>
        <w:rPr>
          <w:rStyle w:val="Hyperlink"/>
          <w:color w:val="auto"/>
          <w:u w:val="none"/>
        </w:rPr>
      </w:pPr>
      <w:r w:rsidRPr="00DC2B4B">
        <w:tab/>
      </w:r>
      <w:hyperlink r:id="rId9" w:history="1">
        <w:r w:rsidRPr="004A378C">
          <w:rPr>
            <w:rStyle w:val="Hyperlink"/>
          </w:rPr>
          <w:t>Robin Lennon-Dearing</w:t>
        </w:r>
      </w:hyperlink>
      <w:r w:rsidRPr="00DC2B4B">
        <w:t>, Co- Principle Investigator</w:t>
      </w:r>
      <w:r w:rsidRPr="00DC2B4B">
        <w:tab/>
      </w:r>
      <w:r w:rsidRPr="00DC2B4B">
        <w:tab/>
      </w:r>
    </w:p>
    <w:p w:rsidR="00DC2B4B" w:rsidRPr="00DC2B4B" w:rsidRDefault="00DC2B4B" w:rsidP="004D57E5">
      <w:pPr>
        <w:spacing w:after="0"/>
        <w:rPr>
          <w:rStyle w:val="Hyperlink"/>
        </w:rPr>
      </w:pPr>
    </w:p>
    <w:p w:rsidR="00DC2B4B" w:rsidRPr="0077099E" w:rsidRDefault="0077099E" w:rsidP="004D57E5">
      <w:pPr>
        <w:spacing w:after="0"/>
        <w:rPr>
          <w:rStyle w:val="Hyperlink"/>
          <w:b/>
          <w:color w:val="17365D" w:themeColor="text2" w:themeShade="BF"/>
          <w:u w:val="none"/>
        </w:rPr>
      </w:pPr>
      <w:r w:rsidRPr="0077099E">
        <w:rPr>
          <w:rStyle w:val="Hyperlink"/>
          <w:b/>
          <w:color w:val="17365D" w:themeColor="text2" w:themeShade="BF"/>
          <w:u w:val="none"/>
        </w:rPr>
        <w:t>Contact Us</w:t>
      </w:r>
    </w:p>
    <w:p w:rsidR="00DC2B4B" w:rsidRPr="00DC2B4B" w:rsidRDefault="00DC2B4B" w:rsidP="00DC2B4B">
      <w:pPr>
        <w:spacing w:after="0"/>
        <w:ind w:firstLine="720"/>
        <w:rPr>
          <w:rStyle w:val="Hyperlink"/>
          <w:color w:val="auto"/>
          <w:u w:val="none"/>
        </w:rPr>
      </w:pPr>
      <w:r w:rsidRPr="00DC2B4B">
        <w:rPr>
          <w:rStyle w:val="Hyperlink"/>
          <w:color w:val="auto"/>
          <w:u w:val="none"/>
        </w:rPr>
        <w:t xml:space="preserve">Office: </w:t>
      </w:r>
      <w:hyperlink r:id="rId10" w:history="1">
        <w:r w:rsidRPr="004A378C">
          <w:rPr>
            <w:rStyle w:val="Hyperlink"/>
          </w:rPr>
          <w:t>Browning 111</w:t>
        </w:r>
      </w:hyperlink>
      <w:r>
        <w:rPr>
          <w:rStyle w:val="Hyperlink"/>
          <w:color w:val="auto"/>
          <w:u w:val="none"/>
        </w:rPr>
        <w:t xml:space="preserve"> (please email for office hours as they change each semester)</w:t>
      </w:r>
    </w:p>
    <w:p w:rsidR="00DC2B4B" w:rsidRPr="00DC2B4B" w:rsidRDefault="00DC2B4B" w:rsidP="00DC2B4B">
      <w:pPr>
        <w:spacing w:after="0"/>
        <w:ind w:firstLine="720"/>
        <w:rPr>
          <w:rStyle w:val="Hyperlink"/>
          <w:color w:val="auto"/>
          <w:u w:val="none"/>
        </w:rPr>
      </w:pPr>
      <w:r w:rsidRPr="00DC2B4B">
        <w:rPr>
          <w:rStyle w:val="Hyperlink"/>
          <w:color w:val="auto"/>
          <w:u w:val="none"/>
        </w:rPr>
        <w:tab/>
        <w:t>Or</w:t>
      </w:r>
    </w:p>
    <w:p w:rsidR="00DC2B4B" w:rsidRPr="00DC2B4B" w:rsidRDefault="00DC2B4B" w:rsidP="00DC2B4B">
      <w:pPr>
        <w:spacing w:after="0"/>
        <w:ind w:firstLine="720"/>
        <w:rPr>
          <w:rStyle w:val="Hyperlink"/>
          <w:color w:val="auto"/>
          <w:u w:val="none"/>
        </w:rPr>
      </w:pPr>
      <w:r w:rsidRPr="00DC2B4B">
        <w:rPr>
          <w:rStyle w:val="Hyperlink"/>
          <w:color w:val="auto"/>
          <w:u w:val="none"/>
        </w:rPr>
        <w:t xml:space="preserve">Email: </w:t>
      </w:r>
      <w:hyperlink r:id="rId11" w:history="1">
        <w:r w:rsidR="008675A0" w:rsidRPr="008B4A38">
          <w:rPr>
            <w:rStyle w:val="Hyperlink"/>
          </w:rPr>
          <w:t>studentshelpingstudents@memphis.edu</w:t>
        </w:r>
      </w:hyperlink>
    </w:p>
    <w:p w:rsidR="0077099E" w:rsidRDefault="0077099E" w:rsidP="0077099E">
      <w:pPr>
        <w:spacing w:after="0"/>
        <w:rPr>
          <w:rStyle w:val="Hyperlink"/>
          <w:color w:val="auto"/>
          <w:u w:val="none"/>
        </w:rPr>
      </w:pPr>
    </w:p>
    <w:p w:rsidR="0077099E" w:rsidRDefault="0077099E" w:rsidP="0077099E">
      <w:pPr>
        <w:spacing w:after="0"/>
      </w:pPr>
      <w:bookmarkStart w:id="0" w:name="_GoBack"/>
      <w:bookmarkEnd w:id="0"/>
    </w:p>
    <w:p w:rsidR="00F32F49" w:rsidRDefault="0077099E" w:rsidP="0077099E">
      <w:pPr>
        <w:spacing w:after="0"/>
        <w:jc w:val="center"/>
      </w:pPr>
      <w:r w:rsidRPr="00F32F49">
        <w:rPr>
          <w:noProof/>
          <w:color w:val="FF0000"/>
        </w:rPr>
        <w:drawing>
          <wp:inline distT="0" distB="0" distL="0" distR="0" wp14:anchorId="4B31138F" wp14:editId="34C83515">
            <wp:extent cx="2181824" cy="3368040"/>
            <wp:effectExtent l="0" t="0" r="9525" b="3810"/>
            <wp:docPr id="3" name="Picture 3" descr="https://s-media-cache-ak0.pinimg.com/236x/d3/41/da/d341da8a41654ddf99dc9e109131eb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media-cache-ak0.pinimg.com/236x/d3/41/da/d341da8a41654ddf99dc9e109131ebd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5009" cy="3372956"/>
                    </a:xfrm>
                    <a:prstGeom prst="rect">
                      <a:avLst/>
                    </a:prstGeom>
                    <a:noFill/>
                    <a:ln>
                      <a:noFill/>
                    </a:ln>
                  </pic:spPr>
                </pic:pic>
              </a:graphicData>
            </a:graphic>
          </wp:inline>
        </w:drawing>
      </w:r>
    </w:p>
    <w:sectPr w:rsidR="00F32F49" w:rsidSect="00E65B1B">
      <w:pgSz w:w="12240" w:h="15840"/>
      <w:pgMar w:top="1440" w:right="1440" w:bottom="1440" w:left="1440" w:header="720" w:footer="720" w:gutter="0"/>
      <w:pgBorders w:offsetFrom="page">
        <w:top w:val="basicBlackDots" w:sz="6" w:space="24" w:color="17365D" w:themeColor="text2" w:themeShade="BF"/>
        <w:left w:val="basicBlackDots" w:sz="6" w:space="24" w:color="17365D" w:themeColor="text2" w:themeShade="BF"/>
        <w:bottom w:val="basicBlackDots" w:sz="6" w:space="24" w:color="17365D" w:themeColor="text2" w:themeShade="BF"/>
        <w:right w:val="basicBlackDots" w:sz="6" w:space="24" w:color="17365D"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D75"/>
    <w:multiLevelType w:val="hybridMultilevel"/>
    <w:tmpl w:val="5554F55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0C0E2638"/>
    <w:multiLevelType w:val="hybridMultilevel"/>
    <w:tmpl w:val="59E8B6D0"/>
    <w:lvl w:ilvl="0" w:tplc="F21CB8C8">
      <w:start w:val="1"/>
      <w:numFmt w:val="bullet"/>
      <w:lvlText w:val=""/>
      <w:lvlJc w:val="left"/>
      <w:pPr>
        <w:ind w:left="990" w:hanging="360"/>
      </w:pPr>
      <w:rPr>
        <w:rFonts w:asciiTheme="minorHAnsi" w:hAnsiTheme="minorHAnsi" w:hint="default"/>
        <w:sz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0BA6FD1"/>
    <w:multiLevelType w:val="hybridMultilevel"/>
    <w:tmpl w:val="D1E4BE7A"/>
    <w:lvl w:ilvl="0" w:tplc="9AE017E8">
      <w:start w:val="1"/>
      <w:numFmt w:val="bullet"/>
      <w:lvlText w:val="•"/>
      <w:lvlJc w:val="left"/>
      <w:pPr>
        <w:ind w:left="1350" w:hanging="360"/>
      </w:pPr>
      <w:rPr>
        <w:rFonts w:ascii="Times New Roman" w:hAnsi="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0521C25"/>
    <w:multiLevelType w:val="hybridMultilevel"/>
    <w:tmpl w:val="F98C098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267F1D97"/>
    <w:multiLevelType w:val="hybridMultilevel"/>
    <w:tmpl w:val="A7BA247C"/>
    <w:lvl w:ilvl="0" w:tplc="9AE017E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4D2020"/>
    <w:multiLevelType w:val="hybridMultilevel"/>
    <w:tmpl w:val="3D02C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A62A60"/>
    <w:multiLevelType w:val="hybridMultilevel"/>
    <w:tmpl w:val="BFA237DA"/>
    <w:lvl w:ilvl="0" w:tplc="04090001">
      <w:start w:val="1"/>
      <w:numFmt w:val="bullet"/>
      <w:lvlText w:val=""/>
      <w:lvlJc w:val="left"/>
      <w:pPr>
        <w:ind w:left="99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C60D1"/>
    <w:multiLevelType w:val="hybridMultilevel"/>
    <w:tmpl w:val="05FE46FC"/>
    <w:lvl w:ilvl="0" w:tplc="9AE017E8">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7471B0"/>
    <w:multiLevelType w:val="hybridMultilevel"/>
    <w:tmpl w:val="97A64604"/>
    <w:lvl w:ilvl="0" w:tplc="9AE017E8">
      <w:start w:val="1"/>
      <w:numFmt w:val="bullet"/>
      <w:lvlText w:val="•"/>
      <w:lvlJc w:val="left"/>
      <w:pPr>
        <w:tabs>
          <w:tab w:val="num" w:pos="1446"/>
        </w:tabs>
        <w:ind w:left="1446" w:hanging="360"/>
      </w:pPr>
      <w:rPr>
        <w:rFonts w:ascii="Times New Roman" w:hAnsi="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64BE15D4"/>
    <w:multiLevelType w:val="hybridMultilevel"/>
    <w:tmpl w:val="5798D07C"/>
    <w:lvl w:ilvl="0" w:tplc="9AE017E8">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D37387"/>
    <w:multiLevelType w:val="hybridMultilevel"/>
    <w:tmpl w:val="82440D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6B7F28F8"/>
    <w:multiLevelType w:val="hybridMultilevel"/>
    <w:tmpl w:val="BF8CDE3A"/>
    <w:lvl w:ilvl="0" w:tplc="F21CB8C8">
      <w:start w:val="1"/>
      <w:numFmt w:val="bullet"/>
      <w:lvlText w:val=""/>
      <w:lvlJc w:val="left"/>
      <w:pPr>
        <w:ind w:left="1260" w:hanging="360"/>
      </w:pPr>
      <w:rPr>
        <w:rFonts w:asciiTheme="minorHAnsi" w:hAnsiTheme="minorHAnsi" w:hint="default"/>
        <w:sz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7D9D4636"/>
    <w:multiLevelType w:val="hybridMultilevel"/>
    <w:tmpl w:val="EF18EA3E"/>
    <w:lvl w:ilvl="0" w:tplc="9AE017E8">
      <w:start w:val="1"/>
      <w:numFmt w:val="bullet"/>
      <w:lvlText w:val="•"/>
      <w:lvlJc w:val="left"/>
      <w:pPr>
        <w:tabs>
          <w:tab w:val="num" w:pos="1080"/>
        </w:tabs>
        <w:ind w:left="1080" w:hanging="360"/>
      </w:pPr>
      <w:rPr>
        <w:rFonts w:ascii="Times New Roman" w:hAnsi="Times New Roman" w:hint="default"/>
      </w:rPr>
    </w:lvl>
    <w:lvl w:ilvl="1" w:tplc="95FE9B76" w:tentative="1">
      <w:start w:val="1"/>
      <w:numFmt w:val="bullet"/>
      <w:lvlText w:val="•"/>
      <w:lvlJc w:val="left"/>
      <w:pPr>
        <w:tabs>
          <w:tab w:val="num" w:pos="1800"/>
        </w:tabs>
        <w:ind w:left="1800" w:hanging="360"/>
      </w:pPr>
      <w:rPr>
        <w:rFonts w:ascii="Times New Roman" w:hAnsi="Times New Roman" w:hint="default"/>
      </w:rPr>
    </w:lvl>
    <w:lvl w:ilvl="2" w:tplc="90C8B3A0" w:tentative="1">
      <w:start w:val="1"/>
      <w:numFmt w:val="bullet"/>
      <w:lvlText w:val="•"/>
      <w:lvlJc w:val="left"/>
      <w:pPr>
        <w:tabs>
          <w:tab w:val="num" w:pos="2520"/>
        </w:tabs>
        <w:ind w:left="2520" w:hanging="360"/>
      </w:pPr>
      <w:rPr>
        <w:rFonts w:ascii="Times New Roman" w:hAnsi="Times New Roman" w:hint="default"/>
      </w:rPr>
    </w:lvl>
    <w:lvl w:ilvl="3" w:tplc="8B8CFF06" w:tentative="1">
      <w:start w:val="1"/>
      <w:numFmt w:val="bullet"/>
      <w:lvlText w:val="•"/>
      <w:lvlJc w:val="left"/>
      <w:pPr>
        <w:tabs>
          <w:tab w:val="num" w:pos="3240"/>
        </w:tabs>
        <w:ind w:left="3240" w:hanging="360"/>
      </w:pPr>
      <w:rPr>
        <w:rFonts w:ascii="Times New Roman" w:hAnsi="Times New Roman" w:hint="default"/>
      </w:rPr>
    </w:lvl>
    <w:lvl w:ilvl="4" w:tplc="2BF849A0" w:tentative="1">
      <w:start w:val="1"/>
      <w:numFmt w:val="bullet"/>
      <w:lvlText w:val="•"/>
      <w:lvlJc w:val="left"/>
      <w:pPr>
        <w:tabs>
          <w:tab w:val="num" w:pos="3960"/>
        </w:tabs>
        <w:ind w:left="3960" w:hanging="360"/>
      </w:pPr>
      <w:rPr>
        <w:rFonts w:ascii="Times New Roman" w:hAnsi="Times New Roman" w:hint="default"/>
      </w:rPr>
    </w:lvl>
    <w:lvl w:ilvl="5" w:tplc="F9A6D95C" w:tentative="1">
      <w:start w:val="1"/>
      <w:numFmt w:val="bullet"/>
      <w:lvlText w:val="•"/>
      <w:lvlJc w:val="left"/>
      <w:pPr>
        <w:tabs>
          <w:tab w:val="num" w:pos="4680"/>
        </w:tabs>
        <w:ind w:left="4680" w:hanging="360"/>
      </w:pPr>
      <w:rPr>
        <w:rFonts w:ascii="Times New Roman" w:hAnsi="Times New Roman" w:hint="default"/>
      </w:rPr>
    </w:lvl>
    <w:lvl w:ilvl="6" w:tplc="58425888" w:tentative="1">
      <w:start w:val="1"/>
      <w:numFmt w:val="bullet"/>
      <w:lvlText w:val="•"/>
      <w:lvlJc w:val="left"/>
      <w:pPr>
        <w:tabs>
          <w:tab w:val="num" w:pos="5400"/>
        </w:tabs>
        <w:ind w:left="5400" w:hanging="360"/>
      </w:pPr>
      <w:rPr>
        <w:rFonts w:ascii="Times New Roman" w:hAnsi="Times New Roman" w:hint="default"/>
      </w:rPr>
    </w:lvl>
    <w:lvl w:ilvl="7" w:tplc="DFB0E84E" w:tentative="1">
      <w:start w:val="1"/>
      <w:numFmt w:val="bullet"/>
      <w:lvlText w:val="•"/>
      <w:lvlJc w:val="left"/>
      <w:pPr>
        <w:tabs>
          <w:tab w:val="num" w:pos="6120"/>
        </w:tabs>
        <w:ind w:left="6120" w:hanging="360"/>
      </w:pPr>
      <w:rPr>
        <w:rFonts w:ascii="Times New Roman" w:hAnsi="Times New Roman" w:hint="default"/>
      </w:rPr>
    </w:lvl>
    <w:lvl w:ilvl="8" w:tplc="B9A6C102" w:tentative="1">
      <w:start w:val="1"/>
      <w:numFmt w:val="bullet"/>
      <w:lvlText w:val="•"/>
      <w:lvlJc w:val="left"/>
      <w:pPr>
        <w:tabs>
          <w:tab w:val="num" w:pos="6840"/>
        </w:tabs>
        <w:ind w:left="6840" w:hanging="360"/>
      </w:pPr>
      <w:rPr>
        <w:rFonts w:ascii="Times New Roman" w:hAnsi="Times New Roman" w:hint="default"/>
      </w:rPr>
    </w:lvl>
  </w:abstractNum>
  <w:num w:numId="1">
    <w:abstractNumId w:val="12"/>
  </w:num>
  <w:num w:numId="2">
    <w:abstractNumId w:val="8"/>
  </w:num>
  <w:num w:numId="3">
    <w:abstractNumId w:val="4"/>
  </w:num>
  <w:num w:numId="4">
    <w:abstractNumId w:val="9"/>
  </w:num>
  <w:num w:numId="5">
    <w:abstractNumId w:val="7"/>
  </w:num>
  <w:num w:numId="6">
    <w:abstractNumId w:val="0"/>
  </w:num>
  <w:num w:numId="7">
    <w:abstractNumId w:val="5"/>
  </w:num>
  <w:num w:numId="8">
    <w:abstractNumId w:val="1"/>
  </w:num>
  <w:num w:numId="9">
    <w:abstractNumId w:val="11"/>
  </w:num>
  <w:num w:numId="10">
    <w:abstractNumId w:val="6"/>
  </w:num>
  <w:num w:numId="11">
    <w:abstractNumId w:val="3"/>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92"/>
    <w:rsid w:val="002F79E8"/>
    <w:rsid w:val="00307EE2"/>
    <w:rsid w:val="00406554"/>
    <w:rsid w:val="004A378C"/>
    <w:rsid w:val="004D57E5"/>
    <w:rsid w:val="005B075F"/>
    <w:rsid w:val="006571D5"/>
    <w:rsid w:val="0077099E"/>
    <w:rsid w:val="008675A0"/>
    <w:rsid w:val="00C02F92"/>
    <w:rsid w:val="00D7404B"/>
    <w:rsid w:val="00DC2B4B"/>
    <w:rsid w:val="00E65B1B"/>
    <w:rsid w:val="00F32F49"/>
    <w:rsid w:val="00FF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AB240-9A29-4308-B07F-09B3C51D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55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7E5"/>
    <w:rPr>
      <w:color w:val="0000FF" w:themeColor="hyperlink"/>
      <w:u w:val="single"/>
    </w:rPr>
  </w:style>
  <w:style w:type="paragraph" w:styleId="BalloonText">
    <w:name w:val="Balloon Text"/>
    <w:basedOn w:val="Normal"/>
    <w:link w:val="BalloonTextChar"/>
    <w:uiPriority w:val="99"/>
    <w:semiHidden/>
    <w:unhideWhenUsed/>
    <w:rsid w:val="00F32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F49"/>
    <w:rPr>
      <w:rFonts w:ascii="Tahoma" w:hAnsi="Tahoma" w:cs="Tahoma"/>
      <w:sz w:val="16"/>
      <w:szCs w:val="16"/>
    </w:rPr>
  </w:style>
  <w:style w:type="character" w:styleId="FollowedHyperlink">
    <w:name w:val="FollowedHyperlink"/>
    <w:basedOn w:val="DefaultParagraphFont"/>
    <w:uiPriority w:val="99"/>
    <w:semiHidden/>
    <w:unhideWhenUsed/>
    <w:rsid w:val="00F32F49"/>
    <w:rPr>
      <w:color w:val="800080" w:themeColor="followedHyperlink"/>
      <w:u w:val="single"/>
    </w:rPr>
  </w:style>
  <w:style w:type="paragraph" w:styleId="Caption">
    <w:name w:val="caption"/>
    <w:basedOn w:val="Normal"/>
    <w:next w:val="Normal"/>
    <w:uiPriority w:val="35"/>
    <w:unhideWhenUsed/>
    <w:qFormat/>
    <w:rsid w:val="004A378C"/>
    <w:pPr>
      <w:spacing w:line="240" w:lineRule="auto"/>
    </w:pPr>
    <w:rPr>
      <w:i/>
      <w:iCs/>
      <w:color w:val="1F497D" w:themeColor="text2"/>
      <w:sz w:val="18"/>
      <w:szCs w:val="18"/>
    </w:rPr>
  </w:style>
  <w:style w:type="paragraph" w:styleId="Title">
    <w:name w:val="Title"/>
    <w:basedOn w:val="Normal"/>
    <w:next w:val="Normal"/>
    <w:link w:val="TitleChar"/>
    <w:uiPriority w:val="10"/>
    <w:qFormat/>
    <w:rsid w:val="004A37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7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299270">
      <w:bodyDiv w:val="1"/>
      <w:marLeft w:val="0"/>
      <w:marRight w:val="0"/>
      <w:marTop w:val="0"/>
      <w:marBottom w:val="0"/>
      <w:divBdr>
        <w:top w:val="none" w:sz="0" w:space="0" w:color="auto"/>
        <w:left w:val="none" w:sz="0" w:space="0" w:color="auto"/>
        <w:bottom w:val="none" w:sz="0" w:space="0" w:color="auto"/>
        <w:right w:val="none" w:sz="0" w:space="0" w:color="auto"/>
      </w:divBdr>
      <w:divsChild>
        <w:div w:id="204277551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socialwork/people/faculty_and_staff/susan-elswick.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mphis.edu/socialwork/people/faculty_and_staff/susan-neely.php"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mphis.edu/socialwork/people/faculty_and_staff/gregory-washington.php" TargetMode="External"/><Relationship Id="rId11" Type="http://schemas.openxmlformats.org/officeDocument/2006/relationships/hyperlink" Target="mailto:studentshelpingstudents@memphis.edu" TargetMode="External"/><Relationship Id="rId5" Type="http://schemas.openxmlformats.org/officeDocument/2006/relationships/image" Target="media/image1.jpeg"/><Relationship Id="rId10" Type="http://schemas.openxmlformats.org/officeDocument/2006/relationships/hyperlink" Target="http://umwa.memphis.edu/campusmap/index.php" TargetMode="External"/><Relationship Id="rId4" Type="http://schemas.openxmlformats.org/officeDocument/2006/relationships/webSettings" Target="webSettings.xml"/><Relationship Id="rId9" Type="http://schemas.openxmlformats.org/officeDocument/2006/relationships/hyperlink" Target="http://www.memphis.edu/socialwork/people/faculty_and_staff/robin-lennon.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Mallory Carroll Williams (mcwllms1)</dc:creator>
  <cp:lastModifiedBy>Fawn Lindsey Pettet (flpettet)</cp:lastModifiedBy>
  <cp:revision>4</cp:revision>
  <cp:lastPrinted>2015-08-27T16:27:00Z</cp:lastPrinted>
  <dcterms:created xsi:type="dcterms:W3CDTF">2015-08-27T16:25:00Z</dcterms:created>
  <dcterms:modified xsi:type="dcterms:W3CDTF">2015-08-27T16:28:00Z</dcterms:modified>
</cp:coreProperties>
</file>