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8FB22" w14:textId="77777777" w:rsidR="00A820BC" w:rsidRPr="003E38FA" w:rsidRDefault="00A255CA" w:rsidP="00A820BC">
      <w:pPr>
        <w:tabs>
          <w:tab w:val="center" w:pos="3688"/>
          <w:tab w:val="right" w:pos="7377"/>
        </w:tabs>
        <w:spacing w:after="0" w:line="240" w:lineRule="auto"/>
        <w:rPr>
          <w:rFonts w:ascii="Baskerville Old Face" w:hAnsi="Baskerville Old Face" w:cs="Times New Roman"/>
          <w:b/>
          <w:color w:val="002060"/>
          <w:sz w:val="48"/>
          <w:szCs w:val="48"/>
        </w:rPr>
      </w:pPr>
      <w:r>
        <w:rPr>
          <w:rFonts w:ascii="Baskerville Old Face" w:hAnsi="Baskerville Old Face" w:cs="Times New Roman"/>
          <w:b/>
          <w:noProof/>
          <w:color w:val="7030A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8B4BFAF" wp14:editId="192A43D4">
            <wp:simplePos x="0" y="0"/>
            <wp:positionH relativeFrom="column">
              <wp:posOffset>3826510</wp:posOffset>
            </wp:positionH>
            <wp:positionV relativeFrom="page">
              <wp:posOffset>459740</wp:posOffset>
            </wp:positionV>
            <wp:extent cx="2426970" cy="1210945"/>
            <wp:effectExtent l="0" t="0" r="11430" b="8255"/>
            <wp:wrapThrough wrapText="bothSides">
              <wp:wrapPolygon edited="0">
                <wp:start x="0" y="0"/>
                <wp:lineTo x="0" y="21294"/>
                <wp:lineTo x="21476" y="21294"/>
                <wp:lineTo x="214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m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BC">
        <w:rPr>
          <w:rFonts w:ascii="Baskerville Old Face" w:hAnsi="Baskerville Old Face" w:cs="Times New Roman"/>
          <w:b/>
          <w:noProof/>
          <w:color w:val="7030A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33ADAE2" wp14:editId="03EBD0C5">
            <wp:simplePos x="0" y="0"/>
            <wp:positionH relativeFrom="column">
              <wp:posOffset>-526415</wp:posOffset>
            </wp:positionH>
            <wp:positionV relativeFrom="page">
              <wp:posOffset>567690</wp:posOffset>
            </wp:positionV>
            <wp:extent cx="3406140" cy="1181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_Bonheur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0BC">
        <w:rPr>
          <w:rFonts w:ascii="Baskerville Old Face" w:hAnsi="Baskerville Old Face" w:cs="Times New Roman"/>
          <w:b/>
          <w:color w:val="7030A0"/>
          <w:sz w:val="48"/>
          <w:szCs w:val="48"/>
        </w:rPr>
        <w:t xml:space="preserve"> </w:t>
      </w:r>
    </w:p>
    <w:p w14:paraId="0FE70D56" w14:textId="77777777" w:rsidR="00A820BC" w:rsidRDefault="00A820BC" w:rsidP="00A820BC">
      <w:pPr>
        <w:tabs>
          <w:tab w:val="center" w:pos="3688"/>
          <w:tab w:val="right" w:pos="7377"/>
        </w:tabs>
        <w:spacing w:after="0" w:line="240" w:lineRule="auto"/>
        <w:rPr>
          <w:rFonts w:ascii="Baskerville Old Face" w:hAnsi="Baskerville Old Face" w:cs="Times New Roman"/>
          <w:b/>
          <w:color w:val="002060"/>
          <w:sz w:val="48"/>
          <w:szCs w:val="48"/>
        </w:rPr>
      </w:pPr>
    </w:p>
    <w:p w14:paraId="2DF768BF" w14:textId="77777777" w:rsidR="00A820BC" w:rsidRDefault="00A820BC" w:rsidP="00A820BC"/>
    <w:p w14:paraId="077A2C53" w14:textId="77777777" w:rsidR="00A820BC" w:rsidRPr="0094407E" w:rsidRDefault="0094407E" w:rsidP="0094407E">
      <w:pPr>
        <w:jc w:val="center"/>
        <w:rPr>
          <w:rFonts w:ascii="Georgia" w:hAnsi="Georgia"/>
          <w:color w:val="0070C0"/>
          <w:sz w:val="36"/>
          <w:szCs w:val="24"/>
        </w:rPr>
      </w:pPr>
      <w:r w:rsidRPr="0094407E">
        <w:rPr>
          <w:rFonts w:ascii="Georgia" w:hAnsi="Georgia"/>
          <w:color w:val="0070C0"/>
          <w:sz w:val="36"/>
          <w:szCs w:val="24"/>
        </w:rPr>
        <w:t>Drugs and Alcohol Fact Sheet</w:t>
      </w:r>
    </w:p>
    <w:p w14:paraId="750323D2" w14:textId="77777777" w:rsidR="0094407E" w:rsidRDefault="0094407E" w:rsidP="0094407E">
      <w:pPr>
        <w:widowControl w:val="0"/>
        <w:autoSpaceDE w:val="0"/>
        <w:autoSpaceDN w:val="0"/>
        <w:adjustRightInd w:val="0"/>
        <w:spacing w:after="240" w:line="240" w:lineRule="auto"/>
        <w:rPr>
          <w:rFonts w:ascii="MS Mincho" w:eastAsia="MS Mincho" w:hAnsi="MS Mincho" w:cs="MS Mincho"/>
          <w:color w:val="000000"/>
          <w:sz w:val="24"/>
          <w:szCs w:val="24"/>
        </w:rPr>
      </w:pPr>
      <w:r w:rsidRPr="0094407E">
        <w:rPr>
          <w:rFonts w:ascii="Georgia" w:hAnsi="Georgia" w:cs="Arial"/>
          <w:color w:val="000000"/>
          <w:sz w:val="24"/>
          <w:szCs w:val="24"/>
        </w:rPr>
        <w:t xml:space="preserve">Adolescent abuse of drugs and alcohol is a </w:t>
      </w:r>
      <w:r w:rsidRPr="0094407E">
        <w:rPr>
          <w:rFonts w:ascii="Georgia" w:hAnsi="Georgia" w:cs="Arial"/>
          <w:b/>
          <w:bCs/>
          <w:color w:val="000000"/>
          <w:sz w:val="24"/>
          <w:szCs w:val="24"/>
        </w:rPr>
        <w:t>preventable behavior</w:t>
      </w:r>
      <w:r w:rsidRPr="0094407E">
        <w:rPr>
          <w:rFonts w:ascii="Georgia" w:hAnsi="Georgia" w:cs="Arial"/>
          <w:color w:val="000000"/>
          <w:sz w:val="24"/>
          <w:szCs w:val="24"/>
        </w:rPr>
        <w:t xml:space="preserve">, and the disease of drug/alcohol addiction is a </w:t>
      </w:r>
      <w:r w:rsidRPr="0094407E">
        <w:rPr>
          <w:rFonts w:ascii="Georgia" w:hAnsi="Georgia" w:cs="Arial"/>
          <w:b/>
          <w:bCs/>
          <w:color w:val="000000"/>
          <w:sz w:val="24"/>
          <w:szCs w:val="24"/>
        </w:rPr>
        <w:t>treatable disease</w:t>
      </w:r>
      <w:r w:rsidRPr="0094407E">
        <w:rPr>
          <w:rFonts w:ascii="Georgia" w:hAnsi="Georgia" w:cs="Arial"/>
          <w:color w:val="000000"/>
          <w:sz w:val="24"/>
          <w:szCs w:val="24"/>
        </w:rPr>
        <w:t>.</w:t>
      </w: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 </w:t>
      </w:r>
    </w:p>
    <w:p w14:paraId="14822DEC" w14:textId="77777777" w:rsidR="0094407E" w:rsidRDefault="0094407E" w:rsidP="0094407E">
      <w:pPr>
        <w:widowControl w:val="0"/>
        <w:autoSpaceDE w:val="0"/>
        <w:autoSpaceDN w:val="0"/>
        <w:adjustRightInd w:val="0"/>
        <w:spacing w:after="240" w:line="240" w:lineRule="auto"/>
        <w:rPr>
          <w:rFonts w:ascii="Georgia" w:hAnsi="Georgia" w:cs="Arial"/>
          <w:color w:val="000000"/>
          <w:sz w:val="24"/>
          <w:szCs w:val="24"/>
        </w:rPr>
      </w:pPr>
      <w:r w:rsidRPr="0094407E">
        <w:rPr>
          <w:rFonts w:ascii="Georgia" w:hAnsi="Georgia" w:cs="Arial"/>
          <w:b/>
          <w:bCs/>
          <w:color w:val="000000"/>
          <w:sz w:val="24"/>
          <w:szCs w:val="24"/>
        </w:rPr>
        <w:t xml:space="preserve">Parents </w:t>
      </w:r>
      <w:r w:rsidRPr="0094407E">
        <w:rPr>
          <w:rFonts w:ascii="Georgia" w:hAnsi="Georgia" w:cs="Arial"/>
          <w:color w:val="000000"/>
          <w:sz w:val="24"/>
          <w:szCs w:val="24"/>
        </w:rPr>
        <w:t>are the most effective resource, and leverage point, in preventing and reducing adolescent and</w:t>
      </w:r>
      <w:r w:rsidRPr="0094407E">
        <w:rPr>
          <w:rFonts w:ascii="Georgia" w:hAnsi="Georgia" w:cs="Arial"/>
          <w:color w:val="000000"/>
          <w:sz w:val="24"/>
          <w:szCs w:val="24"/>
        </w:rPr>
        <w:t xml:space="preserve"> </w:t>
      </w:r>
      <w:r w:rsidRPr="0094407E">
        <w:rPr>
          <w:rFonts w:ascii="Georgia" w:hAnsi="Georgia" w:cs="Arial"/>
          <w:color w:val="000000"/>
          <w:sz w:val="24"/>
          <w:szCs w:val="24"/>
        </w:rPr>
        <w:t xml:space="preserve">young adult drug and alcohol abuse and addiction. </w:t>
      </w:r>
    </w:p>
    <w:p w14:paraId="6128694F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11 million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American adolescents and young adults ages 12-29 need help with drug and alcohol problems;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9 million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of these are between the ages of 12-25. (2009 National Study on Drugs and Health)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665CECD7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90%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of the nearly 2 million adolescents who need help with drug and alcohol problems are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not getting the help they need.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(2008 National Study on Drugs and Health)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15F6D896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The related public health, social services, public safety, and lost productivity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costs of drug and alcohol abuse to society is $465 billion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 year. ($280 billion drugs, $185 billion alcohol; Harwood 2004, 2000)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39DFBC39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Parents consider drugs and alcohol as one of the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most important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issues facing teens, young adults, and parents today. (Horowitz Associates 2010) </w:t>
      </w:r>
    </w:p>
    <w:p w14:paraId="5744A65B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Kids who learn a lot about the risks of drugs from their parents are up to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50% less likely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to use drugs, yet only 37% report getting that benefit. (Partnership Attitude Tracking Study 2008)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7FAECE1E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Parents who intervene early with their child s drug or alcohol use can help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significantly reduce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the likelihood that they will become addicted, or suffer long-term negative consequences. (Dennis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2008)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702645AA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90% of all adults with drug or alcohol problems started using before the age of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>18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, and half before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15.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(Dennis 2007)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074B72D6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There is a clear association between adolescent drug and alcohol use and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>unhealthy, risky behavior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, including: unprotected, unplanned, unwanted sexual activity; impaired motor vehicle driving/passenger; involvement with juvenile justice system; poor academic performance and dropping out. (numerous sources)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74813AC1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Some adolescents and young adults have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special vulnerability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to drug and alcohol problems,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including: drug or alcohol use at an early age; family history of drug or alcohol problems; existing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mental health </w:t>
      </w:r>
      <w:r w:rsidRPr="000B15F9">
        <w:rPr>
          <w:rFonts w:ascii="Georgia" w:hAnsi="Georgia" w:cs="Arial"/>
          <w:color w:val="000000"/>
          <w:sz w:val="24"/>
          <w:szCs w:val="24"/>
        </w:rPr>
        <w:lastRenderedPageBreak/>
        <w:t xml:space="preserve">problems; having friends who use drugs and alcohol. (National Institute on Drug Abuse, Substance Abuse Mental Health Services Administration) </w:t>
      </w:r>
    </w:p>
    <w:p w14:paraId="1CB7F51A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African American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adolescents have consistently shown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lower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drug and alcohol usage rates than Caucasian adolescents. (Johnson/Monitoring the Future 2008)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5842AB01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Coerced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(non voluntary) treatment for adolescent drug and alcohol problems can be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just as effective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as treatment after hitting bottom. (National Institute on Drug Abuse, Substance Abuse Mental Health Services Administration)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10A726EC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The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adolescent brain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is not fully developed until ages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22-24,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and can be more vulnerable to the effects of drugs and alcohol; the part of the brain to develop last is the prefrontal cortex, responsible for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decision making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and moderating social behavior. (Winters 2008)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778CF23D" w14:textId="77777777" w:rsidR="000B15F9" w:rsidRPr="000B15F9" w:rsidRDefault="000B15F9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 w:rsidRPr="000B15F9">
        <w:rPr>
          <w:rFonts w:ascii="Georgia" w:hAnsi="Georgia" w:cs="Arial"/>
          <w:color w:val="000000"/>
          <w:sz w:val="24"/>
          <w:szCs w:val="24"/>
        </w:rPr>
        <w:t xml:space="preserve">Effective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treatment for adolescent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drug and alcohol problems has been shown to be </w:t>
      </w:r>
      <w:r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different </w:t>
      </w:r>
      <w:r w:rsidRPr="000B15F9">
        <w:rPr>
          <w:rFonts w:ascii="Georgia" w:hAnsi="Georgia" w:cs="Arial"/>
          <w:color w:val="000000"/>
          <w:sz w:val="24"/>
          <w:szCs w:val="24"/>
        </w:rPr>
        <w:t xml:space="preserve">than treatment for adults. (National Institute on Drug Abuse) </w:t>
      </w:r>
      <w:r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75360B70" w14:textId="77777777" w:rsidR="000B15F9" w:rsidRPr="000B15F9" w:rsidRDefault="00A27B84" w:rsidP="000B15F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Georgia" w:hAnsi="Georgia" w:cs="Times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E468E67" wp14:editId="03D1EDF2">
            <wp:simplePos x="0" y="0"/>
            <wp:positionH relativeFrom="column">
              <wp:posOffset>165735</wp:posOffset>
            </wp:positionH>
            <wp:positionV relativeFrom="page">
              <wp:posOffset>5488940</wp:posOffset>
            </wp:positionV>
            <wp:extent cx="5372735" cy="3080385"/>
            <wp:effectExtent l="0" t="0" r="1206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lkEarlyAlcoho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On an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>average day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,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7,540 adolescents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12-17 drank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alcohol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for the first time,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4,365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used an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>illicit drug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,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2,466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abused a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prescription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pain medication (without a prescription) and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263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were admitted to treatment for </w:t>
      </w:r>
      <w:r w:rsidR="000B15F9" w:rsidRPr="000B15F9">
        <w:rPr>
          <w:rFonts w:ascii="Georgia" w:hAnsi="Georgia" w:cs="Arial"/>
          <w:b/>
          <w:bCs/>
          <w:color w:val="000000"/>
          <w:sz w:val="24"/>
          <w:szCs w:val="24"/>
        </w:rPr>
        <w:t xml:space="preserve">marijuana dependence, </w:t>
      </w:r>
      <w:r w:rsidR="000B15F9" w:rsidRPr="000B15F9">
        <w:rPr>
          <w:rFonts w:ascii="Georgia" w:hAnsi="Georgia" w:cs="Arial"/>
          <w:color w:val="000000"/>
          <w:sz w:val="24"/>
          <w:szCs w:val="24"/>
        </w:rPr>
        <w:t xml:space="preserve">more than any other drug. (2008 OAS/ SAMHSA) </w:t>
      </w:r>
      <w:r w:rsidR="000B15F9" w:rsidRPr="000B15F9">
        <w:rPr>
          <w:rFonts w:ascii="MS Mincho" w:eastAsia="MS Mincho" w:hAnsi="MS Mincho" w:cs="MS Mincho"/>
          <w:color w:val="000000"/>
          <w:sz w:val="24"/>
          <w:szCs w:val="24"/>
        </w:rPr>
        <w:t> </w:t>
      </w:r>
    </w:p>
    <w:p w14:paraId="3561BC80" w14:textId="77777777" w:rsidR="0094407E" w:rsidRPr="0094407E" w:rsidRDefault="0094407E" w:rsidP="0094407E">
      <w:pPr>
        <w:widowControl w:val="0"/>
        <w:autoSpaceDE w:val="0"/>
        <w:autoSpaceDN w:val="0"/>
        <w:adjustRightInd w:val="0"/>
        <w:spacing w:after="240" w:line="240" w:lineRule="auto"/>
        <w:rPr>
          <w:rFonts w:ascii="Georgia" w:hAnsi="Georgia" w:cs="Times"/>
          <w:color w:val="000000"/>
          <w:sz w:val="24"/>
          <w:szCs w:val="24"/>
        </w:rPr>
      </w:pPr>
    </w:p>
    <w:p w14:paraId="01895B3D" w14:textId="77777777" w:rsidR="0094407E" w:rsidRPr="00997317" w:rsidRDefault="0094407E" w:rsidP="00A820BC"/>
    <w:p w14:paraId="0D7DD362" w14:textId="77777777" w:rsidR="000C1BB6" w:rsidRDefault="00ED7DD4"/>
    <w:p w14:paraId="2F230E20" w14:textId="77777777" w:rsidR="00A820BC" w:rsidRDefault="00A820BC"/>
    <w:p w14:paraId="6EE1B774" w14:textId="77777777" w:rsidR="00A820BC" w:rsidRDefault="00A820BC"/>
    <w:p w14:paraId="6447CCD2" w14:textId="77777777" w:rsidR="00A820BC" w:rsidRDefault="00A820BC"/>
    <w:p w14:paraId="31897745" w14:textId="77777777" w:rsidR="00A820BC" w:rsidRDefault="00A820BC"/>
    <w:p w14:paraId="0E37D873" w14:textId="321A35C5" w:rsidR="00A820BC" w:rsidRDefault="006F4264">
      <w:r>
        <w:br/>
      </w:r>
      <w:bookmarkStart w:id="0" w:name="_GoBack"/>
      <w:bookmarkEnd w:id="0"/>
    </w:p>
    <w:p w14:paraId="0F7762FD" w14:textId="77777777" w:rsidR="00A27B84" w:rsidRDefault="00A27B84"/>
    <w:p w14:paraId="721D38A8" w14:textId="77777777" w:rsidR="00A820BC" w:rsidRDefault="00A820BC" w:rsidP="00A820BC">
      <w:pPr>
        <w:spacing w:after="0" w:line="240" w:lineRule="auto"/>
        <w:ind w:left="720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94C79C1" wp14:editId="05E7CD3D">
            <wp:simplePos x="0" y="0"/>
            <wp:positionH relativeFrom="column">
              <wp:posOffset>-635000</wp:posOffset>
            </wp:positionH>
            <wp:positionV relativeFrom="paragraph">
              <wp:posOffset>226060</wp:posOffset>
            </wp:positionV>
            <wp:extent cx="1374467" cy="774459"/>
            <wp:effectExtent l="0" t="0" r="444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rch-health-rebrand-3-church-health-1024xx1754-989-149-39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467" cy="77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38070" w14:textId="77777777" w:rsidR="00A820BC" w:rsidRPr="00A820BC" w:rsidRDefault="00A820BC" w:rsidP="00A820BC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D4C9E21" wp14:editId="1F5B10F0">
            <wp:simplePos x="0" y="0"/>
            <wp:positionH relativeFrom="column">
              <wp:posOffset>4889500</wp:posOffset>
            </wp:positionH>
            <wp:positionV relativeFrom="paragraph">
              <wp:posOffset>272415</wp:posOffset>
            </wp:positionV>
            <wp:extent cx="1529475" cy="504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ofmpreferred2c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29475" cy="504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3A57C77" wp14:editId="7EA49A53">
            <wp:simplePos x="0" y="0"/>
            <wp:positionH relativeFrom="column">
              <wp:posOffset>1962150</wp:posOffset>
            </wp:positionH>
            <wp:positionV relativeFrom="paragraph">
              <wp:posOffset>98425</wp:posOffset>
            </wp:positionV>
            <wp:extent cx="1743318" cy="733527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u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20BC" w:rsidRPr="00A820BC" w:rsidSect="00A820BC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D511" w14:textId="77777777" w:rsidR="00ED7DD4" w:rsidRDefault="00ED7DD4" w:rsidP="008A0857">
      <w:pPr>
        <w:spacing w:after="0" w:line="240" w:lineRule="auto"/>
      </w:pPr>
      <w:r>
        <w:separator/>
      </w:r>
    </w:p>
  </w:endnote>
  <w:endnote w:type="continuationSeparator" w:id="0">
    <w:p w14:paraId="5880280B" w14:textId="77777777" w:rsidR="00ED7DD4" w:rsidRDefault="00ED7DD4" w:rsidP="008A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BE33" w14:textId="77777777" w:rsidR="008A0857" w:rsidRPr="008A0857" w:rsidRDefault="008A0857">
    <w:pPr>
      <w:pStyle w:val="Footer"/>
      <w:rPr>
        <w:rFonts w:ascii="Georgia" w:hAnsi="Georgia"/>
        <w:sz w:val="21"/>
      </w:rPr>
    </w:pPr>
    <w:r w:rsidRPr="008A0857">
      <w:rPr>
        <w:rFonts w:ascii="Georgia" w:hAnsi="Georgia"/>
        <w:sz w:val="21"/>
      </w:rPr>
      <w:t>Retrieved from: https://drugfree.org/wp-content/uploads/2010/10/Drug-Alcohol-Fact-Sheet.pdf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42A38" w14:textId="77777777" w:rsidR="00ED7DD4" w:rsidRDefault="00ED7DD4" w:rsidP="008A0857">
      <w:pPr>
        <w:spacing w:after="0" w:line="240" w:lineRule="auto"/>
      </w:pPr>
      <w:r>
        <w:separator/>
      </w:r>
    </w:p>
  </w:footnote>
  <w:footnote w:type="continuationSeparator" w:id="0">
    <w:p w14:paraId="4184A578" w14:textId="77777777" w:rsidR="00ED7DD4" w:rsidRDefault="00ED7DD4" w:rsidP="008A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86929"/>
    <w:multiLevelType w:val="hybridMultilevel"/>
    <w:tmpl w:val="4EF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6232C"/>
    <w:multiLevelType w:val="multilevel"/>
    <w:tmpl w:val="2966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BC"/>
    <w:rsid w:val="000B15F9"/>
    <w:rsid w:val="00462B35"/>
    <w:rsid w:val="004F4B2A"/>
    <w:rsid w:val="006F4264"/>
    <w:rsid w:val="008A0857"/>
    <w:rsid w:val="0094407E"/>
    <w:rsid w:val="00A255CA"/>
    <w:rsid w:val="00A27B84"/>
    <w:rsid w:val="00A820BC"/>
    <w:rsid w:val="00E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D55F"/>
  <w15:chartTrackingRefBased/>
  <w15:docId w15:val="{2F870775-092D-4269-BFF4-7C69D27E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57"/>
  </w:style>
  <w:style w:type="paragraph" w:styleId="Footer">
    <w:name w:val="footer"/>
    <w:basedOn w:val="Normal"/>
    <w:link w:val="FooterChar"/>
    <w:uiPriority w:val="99"/>
    <w:unhideWhenUsed/>
    <w:rsid w:val="008A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Lynn Forstbauer (klfrstbr)</dc:creator>
  <cp:keywords/>
  <dc:description/>
  <cp:lastModifiedBy>Abigail I Durham (aidurham)</cp:lastModifiedBy>
  <cp:revision>3</cp:revision>
  <dcterms:created xsi:type="dcterms:W3CDTF">2017-11-27T16:32:00Z</dcterms:created>
  <dcterms:modified xsi:type="dcterms:W3CDTF">2017-11-27T16:32:00Z</dcterms:modified>
</cp:coreProperties>
</file>