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/>
        <w:ind w:left="19" w:right="0" w:firstLine="0"/>
        <w:jc w:val="center"/>
        <w:rPr>
          <w:b/>
          <w:sz w:val="40"/>
        </w:rPr>
      </w:pPr>
      <w:r>
        <w:rPr>
          <w:b/>
          <w:sz w:val="40"/>
        </w:rPr>
        <w:t>Brandon Simpson</w:t>
      </w:r>
    </w:p>
    <w:p>
      <w:pPr>
        <w:tabs>
          <w:tab w:pos="2628" w:val="left" w:leader="none"/>
          <w:tab w:pos="7733" w:val="left" w:leader="none"/>
        </w:tabs>
        <w:spacing w:before="37"/>
        <w:ind w:left="17" w:right="0" w:firstLine="0"/>
        <w:jc w:val="center"/>
        <w:rPr>
          <w:sz w:val="24"/>
        </w:rPr>
      </w:pPr>
      <w:hyperlink r:id="rId5">
        <w:r>
          <w:rPr>
            <w:color w:val="0563C1"/>
            <w:sz w:val="24"/>
            <w:u w:val="single" w:color="0563C1"/>
          </w:rPr>
          <w:t>bsimpson@gmail.com</w:t>
        </w:r>
      </w:hyperlink>
      <w:r>
        <w:rPr>
          <w:color w:val="0563C1"/>
          <w:sz w:val="24"/>
        </w:rPr>
        <w:tab/>
      </w:r>
      <w:r>
        <w:rPr>
          <w:sz w:val="24"/>
        </w:rPr>
        <w:t>222 Mynders Ave Apt 2 Memphis,</w:t>
      </w:r>
      <w:r>
        <w:rPr>
          <w:spacing w:val="-7"/>
          <w:sz w:val="24"/>
        </w:rPr>
        <w:t> </w:t>
      </w:r>
      <w:r>
        <w:rPr>
          <w:sz w:val="24"/>
        </w:rPr>
        <w:t>TN</w:t>
      </w:r>
      <w:r>
        <w:rPr>
          <w:spacing w:val="-3"/>
          <w:sz w:val="24"/>
        </w:rPr>
        <w:t> </w:t>
      </w:r>
      <w:r>
        <w:rPr>
          <w:sz w:val="24"/>
        </w:rPr>
        <w:t>38111</w:t>
        <w:tab/>
        <w:t>(901)</w:t>
      </w:r>
      <w:r>
        <w:rPr>
          <w:spacing w:val="-7"/>
          <w:sz w:val="24"/>
        </w:rPr>
        <w:t> </w:t>
      </w:r>
      <w:r>
        <w:rPr>
          <w:sz w:val="24"/>
        </w:rPr>
        <w:t>678-3322</w:t>
      </w:r>
    </w:p>
    <w:p>
      <w:pPr>
        <w:pStyle w:val="BodyText"/>
        <w:spacing w:before="10"/>
        <w:rPr>
          <w:sz w:val="15"/>
        </w:rPr>
      </w:pPr>
    </w:p>
    <w:p>
      <w:pPr>
        <w:tabs>
          <w:tab w:pos="1919" w:val="left" w:leader="none"/>
        </w:tabs>
        <w:spacing w:before="101"/>
        <w:ind w:left="105" w:right="0" w:firstLine="0"/>
        <w:jc w:val="left"/>
        <w:rPr>
          <w:b/>
          <w:sz w:val="21"/>
        </w:rPr>
      </w:pPr>
      <w:r>
        <w:rPr>
          <w:b/>
          <w:sz w:val="24"/>
        </w:rPr>
        <w:t>EDUCATION</w:t>
        <w:tab/>
      </w:r>
      <w:r>
        <w:rPr>
          <w:b/>
          <w:sz w:val="21"/>
        </w:rPr>
        <w:t>Bachelor of Science in Biomedical</w:t>
      </w:r>
      <w:r>
        <w:rPr>
          <w:b/>
          <w:spacing w:val="-18"/>
          <w:sz w:val="21"/>
        </w:rPr>
        <w:t> </w:t>
      </w:r>
      <w:r>
        <w:rPr>
          <w:b/>
          <w:sz w:val="21"/>
        </w:rPr>
        <w:t>Engineering</w:t>
      </w:r>
    </w:p>
    <w:p>
      <w:pPr>
        <w:pStyle w:val="BodyText"/>
        <w:spacing w:line="254" w:lineRule="auto" w:before="21"/>
        <w:ind w:left="1919" w:right="4335"/>
      </w:pPr>
      <w:r>
        <w:rPr/>
        <w:t>University of Memphis, Memphis, TN GPA: 3.0</w:t>
      </w:r>
    </w:p>
    <w:p>
      <w:pPr>
        <w:pStyle w:val="BodyText"/>
        <w:ind w:left="1920"/>
      </w:pPr>
      <w:r>
        <w:rPr/>
        <w:t>Expected Graduation Date: May 2019</w:t>
      </w:r>
    </w:p>
    <w:p>
      <w:pPr>
        <w:pStyle w:val="BodyText"/>
        <w:spacing w:before="2"/>
      </w:pPr>
    </w:p>
    <w:p>
      <w:pPr>
        <w:tabs>
          <w:tab w:pos="1919" w:val="left" w:leader="none"/>
        </w:tabs>
        <w:spacing w:line="281" w:lineRule="exact" w:before="0"/>
        <w:ind w:left="120" w:right="0" w:firstLine="0"/>
        <w:jc w:val="left"/>
        <w:rPr>
          <w:sz w:val="21"/>
        </w:rPr>
      </w:pPr>
      <w:r>
        <w:rPr>
          <w:b/>
          <w:sz w:val="24"/>
        </w:rPr>
        <w:t>SKILLS</w:t>
        <w:tab/>
      </w:r>
      <w:r>
        <w:rPr>
          <w:b/>
          <w:sz w:val="21"/>
        </w:rPr>
        <w:t>Programming Languages: </w:t>
      </w:r>
      <w:r>
        <w:rPr>
          <w:sz w:val="21"/>
        </w:rPr>
        <w:t>MATLAB, SigmaPlot, Microsoft Office</w:t>
      </w:r>
      <w:r>
        <w:rPr>
          <w:spacing w:val="-30"/>
          <w:sz w:val="21"/>
        </w:rPr>
        <w:t> </w:t>
      </w:r>
      <w:r>
        <w:rPr>
          <w:sz w:val="21"/>
        </w:rPr>
        <w:t>Suite</w:t>
      </w:r>
    </w:p>
    <w:p>
      <w:pPr>
        <w:pStyle w:val="BodyText"/>
        <w:spacing w:before="0"/>
        <w:ind w:left="1927" w:right="115" w:hanging="8"/>
      </w:pPr>
      <w:r>
        <w:rPr>
          <w:b/>
        </w:rPr>
        <w:t>Laboratory Tools: </w:t>
      </w:r>
      <w:r>
        <w:rPr/>
        <w:t>High Pressure Liquid Chromatography (HPLC), Medical imaging, Luminescence assays, Statistical analysis, LabVIEW, Hydrothermal</w:t>
      </w:r>
    </w:p>
    <w:p>
      <w:pPr>
        <w:pStyle w:val="BodyText"/>
        <w:spacing w:before="3"/>
      </w:pPr>
    </w:p>
    <w:p>
      <w:pPr>
        <w:tabs>
          <w:tab w:pos="1919" w:val="left" w:leader="none"/>
        </w:tabs>
        <w:spacing w:before="0"/>
        <w:ind w:left="105" w:right="0" w:firstLine="0"/>
        <w:jc w:val="left"/>
        <w:rPr>
          <w:sz w:val="21"/>
        </w:rPr>
      </w:pPr>
      <w:r>
        <w:rPr>
          <w:b/>
          <w:sz w:val="24"/>
        </w:rPr>
        <w:t>RESEARCH</w:t>
        <w:tab/>
      </w:r>
      <w:r>
        <w:rPr>
          <w:b/>
          <w:sz w:val="21"/>
        </w:rPr>
        <w:t>Undergraduate Research Assistant, </w:t>
      </w:r>
      <w:r>
        <w:rPr>
          <w:sz w:val="21"/>
        </w:rPr>
        <w:t>Apr 2016 -</w:t>
      </w:r>
      <w:r>
        <w:rPr>
          <w:spacing w:val="-22"/>
          <w:sz w:val="21"/>
        </w:rPr>
        <w:t> </w:t>
      </w:r>
      <w:r>
        <w:rPr>
          <w:sz w:val="21"/>
        </w:rPr>
        <w:t>Present</w:t>
      </w:r>
    </w:p>
    <w:p>
      <w:pPr>
        <w:spacing w:before="42"/>
        <w:ind w:left="1920" w:right="0" w:firstLine="0"/>
        <w:jc w:val="left"/>
        <w:rPr>
          <w:i/>
          <w:sz w:val="21"/>
        </w:rPr>
      </w:pPr>
      <w:r>
        <w:rPr>
          <w:i/>
          <w:sz w:val="21"/>
        </w:rPr>
        <w:t>Department of Biomedical Engineering University of Memphis, Memphis, TN</w:t>
      </w:r>
    </w:p>
    <w:p>
      <w:pPr>
        <w:pStyle w:val="ListParagraph"/>
        <w:numPr>
          <w:ilvl w:val="0"/>
          <w:numId w:val="1"/>
        </w:numPr>
        <w:tabs>
          <w:tab w:pos="2352" w:val="left" w:leader="none"/>
          <w:tab w:pos="2353" w:val="left" w:leader="none"/>
        </w:tabs>
        <w:spacing w:line="240" w:lineRule="auto" w:before="35" w:after="0"/>
        <w:ind w:left="2280" w:right="0" w:hanging="288"/>
        <w:jc w:val="left"/>
        <w:rPr>
          <w:sz w:val="21"/>
        </w:rPr>
      </w:pPr>
      <w:r>
        <w:rPr>
          <w:sz w:val="21"/>
        </w:rPr>
        <w:t>Perform zone of inhibition studies and turbidity studies for local</w:t>
      </w:r>
      <w:r>
        <w:rPr>
          <w:spacing w:val="-32"/>
          <w:sz w:val="21"/>
        </w:rPr>
        <w:t> </w:t>
      </w:r>
      <w:r>
        <w:rPr>
          <w:sz w:val="21"/>
        </w:rPr>
        <w:t>companies</w:t>
      </w:r>
    </w:p>
    <w:p>
      <w:pPr>
        <w:pStyle w:val="ListParagraph"/>
        <w:numPr>
          <w:ilvl w:val="0"/>
          <w:numId w:val="1"/>
        </w:numPr>
        <w:tabs>
          <w:tab w:pos="2352" w:val="left" w:leader="none"/>
          <w:tab w:pos="2353" w:val="left" w:leader="none"/>
        </w:tabs>
        <w:spacing w:line="257" w:lineRule="exact" w:before="1" w:after="0"/>
        <w:ind w:left="2352" w:right="0" w:hanging="360"/>
        <w:jc w:val="left"/>
        <w:rPr>
          <w:sz w:val="21"/>
        </w:rPr>
      </w:pPr>
      <w:r>
        <w:rPr>
          <w:sz w:val="21"/>
        </w:rPr>
        <w:t>Utilize aseptic technique when culturing cells for</w:t>
      </w:r>
      <w:r>
        <w:rPr>
          <w:spacing w:val="-28"/>
          <w:sz w:val="21"/>
        </w:rPr>
        <w:t> </w:t>
      </w:r>
      <w:r>
        <w:rPr>
          <w:sz w:val="21"/>
        </w:rPr>
        <w:t>cytocompatibility</w:t>
      </w:r>
    </w:p>
    <w:p>
      <w:pPr>
        <w:pStyle w:val="ListParagraph"/>
        <w:numPr>
          <w:ilvl w:val="0"/>
          <w:numId w:val="1"/>
        </w:numPr>
        <w:tabs>
          <w:tab w:pos="2352" w:val="left" w:leader="none"/>
          <w:tab w:pos="2353" w:val="left" w:leader="none"/>
        </w:tabs>
        <w:spacing w:line="257" w:lineRule="exact" w:before="0" w:after="0"/>
        <w:ind w:left="2352" w:right="0" w:hanging="360"/>
        <w:jc w:val="left"/>
        <w:rPr>
          <w:sz w:val="21"/>
        </w:rPr>
      </w:pPr>
      <w:r>
        <w:rPr>
          <w:sz w:val="21"/>
        </w:rPr>
        <w:t>Complete assays to measure results such as cell-titer glo, and bac-titer</w:t>
      </w:r>
      <w:r>
        <w:rPr>
          <w:spacing w:val="-29"/>
          <w:sz w:val="21"/>
        </w:rPr>
        <w:t> </w:t>
      </w:r>
      <w:r>
        <w:rPr>
          <w:sz w:val="21"/>
        </w:rPr>
        <w:t>glo.</w:t>
      </w:r>
    </w:p>
    <w:p>
      <w:pPr>
        <w:pStyle w:val="ListParagraph"/>
        <w:numPr>
          <w:ilvl w:val="0"/>
          <w:numId w:val="1"/>
        </w:numPr>
        <w:tabs>
          <w:tab w:pos="2352" w:val="left" w:leader="none"/>
          <w:tab w:pos="2353" w:val="left" w:leader="none"/>
        </w:tabs>
        <w:spacing w:line="257" w:lineRule="exact" w:before="0" w:after="0"/>
        <w:ind w:left="2352" w:right="0" w:hanging="360"/>
        <w:jc w:val="left"/>
        <w:rPr>
          <w:sz w:val="21"/>
        </w:rPr>
      </w:pPr>
      <w:r>
        <w:rPr>
          <w:sz w:val="21"/>
        </w:rPr>
        <w:t>Verify the viability of microbeads in cancerous</w:t>
      </w:r>
      <w:r>
        <w:rPr>
          <w:spacing w:val="-22"/>
          <w:sz w:val="21"/>
        </w:rPr>
        <w:t> </w:t>
      </w:r>
      <w:r>
        <w:rPr>
          <w:sz w:val="21"/>
        </w:rPr>
        <w:t>fibroblast</w:t>
      </w:r>
    </w:p>
    <w:p>
      <w:pPr>
        <w:pStyle w:val="BodyText"/>
        <w:rPr>
          <w:sz w:val="28"/>
        </w:rPr>
      </w:pPr>
    </w:p>
    <w:p>
      <w:pPr>
        <w:tabs>
          <w:tab w:pos="1919" w:val="left" w:leader="none"/>
        </w:tabs>
        <w:spacing w:before="0"/>
        <w:ind w:left="120" w:right="0" w:firstLine="0"/>
        <w:jc w:val="left"/>
        <w:rPr>
          <w:i/>
          <w:sz w:val="21"/>
        </w:rPr>
      </w:pPr>
      <w:r>
        <w:rPr>
          <w:b/>
          <w:sz w:val="21"/>
        </w:rPr>
        <w:t>ABSTRACTS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&amp;</w:t>
        <w:tab/>
      </w:r>
      <w:r>
        <w:rPr>
          <w:sz w:val="21"/>
          <w:u w:val="single"/>
        </w:rPr>
        <w:t>Barr, B</w:t>
      </w:r>
      <w:r>
        <w:rPr>
          <w:sz w:val="21"/>
        </w:rPr>
        <w:t>, Awais R, and Jennings JA. </w:t>
      </w:r>
      <w:r>
        <w:rPr>
          <w:i/>
          <w:sz w:val="21"/>
        </w:rPr>
        <w:t>Comparative antimicrobial activity</w:t>
      </w:r>
      <w:r>
        <w:rPr>
          <w:i/>
          <w:spacing w:val="-26"/>
          <w:sz w:val="21"/>
        </w:rPr>
        <w:t> </w:t>
      </w:r>
      <w:r>
        <w:rPr>
          <w:i/>
          <w:sz w:val="21"/>
        </w:rPr>
        <w:t>of</w:t>
      </w:r>
    </w:p>
    <w:p>
      <w:pPr>
        <w:tabs>
          <w:tab w:pos="1919" w:val="left" w:leader="none"/>
        </w:tabs>
        <w:spacing w:line="259" w:lineRule="auto" w:before="17"/>
        <w:ind w:left="1920" w:right="1119" w:hanging="1801"/>
        <w:jc w:val="left"/>
        <w:rPr>
          <w:sz w:val="21"/>
        </w:rPr>
      </w:pPr>
      <w:r>
        <w:rPr>
          <w:b/>
          <w:sz w:val="21"/>
        </w:rPr>
        <w:t>PUBLICATIONS</w:t>
        <w:tab/>
      </w:r>
      <w:r>
        <w:rPr>
          <w:i/>
          <w:sz w:val="21"/>
        </w:rPr>
        <w:t>commercially available wound care sprays </w:t>
      </w:r>
      <w:r>
        <w:rPr>
          <w:sz w:val="21"/>
        </w:rPr>
        <w:t>in Annual</w:t>
      </w:r>
      <w:r>
        <w:rPr>
          <w:spacing w:val="-26"/>
          <w:sz w:val="21"/>
        </w:rPr>
        <w:t> </w:t>
      </w:r>
      <w:r>
        <w:rPr>
          <w:sz w:val="21"/>
        </w:rPr>
        <w:t>American</w:t>
      </w:r>
      <w:r>
        <w:rPr>
          <w:spacing w:val="-4"/>
          <w:sz w:val="21"/>
        </w:rPr>
        <w:t> </w:t>
      </w:r>
      <w:r>
        <w:rPr>
          <w:sz w:val="21"/>
        </w:rPr>
        <w:t>Veterinary</w:t>
      </w:r>
      <w:r>
        <w:rPr>
          <w:w w:val="100"/>
          <w:sz w:val="21"/>
        </w:rPr>
        <w:t> </w:t>
      </w:r>
      <w:r>
        <w:rPr>
          <w:sz w:val="21"/>
        </w:rPr>
        <w:t>Medical Association Convention. 2017. Indianapolis,</w:t>
      </w:r>
      <w:r>
        <w:rPr>
          <w:spacing w:val="-22"/>
          <w:sz w:val="21"/>
        </w:rPr>
        <w:t> </w:t>
      </w:r>
      <w:r>
        <w:rPr>
          <w:sz w:val="21"/>
        </w:rPr>
        <w:t>IN.</w:t>
      </w:r>
    </w:p>
    <w:p>
      <w:pPr>
        <w:pStyle w:val="BodyText"/>
        <w:spacing w:before="5"/>
        <w:rPr>
          <w:sz w:val="22"/>
        </w:rPr>
      </w:pPr>
    </w:p>
    <w:p>
      <w:pPr>
        <w:spacing w:line="259" w:lineRule="auto" w:before="1"/>
        <w:ind w:left="1920" w:right="510" w:firstLine="0"/>
        <w:jc w:val="left"/>
        <w:rPr>
          <w:sz w:val="21"/>
        </w:rPr>
      </w:pPr>
      <w:r>
        <w:rPr>
          <w:sz w:val="21"/>
          <w:u w:val="single"/>
        </w:rPr>
        <w:t>Barr, B</w:t>
      </w:r>
      <w:r>
        <w:rPr>
          <w:sz w:val="21"/>
        </w:rPr>
        <w:t>, and Jennings JA. </w:t>
      </w:r>
      <w:r>
        <w:rPr>
          <w:i/>
          <w:sz w:val="21"/>
        </w:rPr>
        <w:t>Cytocompatibility study of magnetic nanoparticle loaded </w:t>
      </w:r>
      <w:r>
        <w:rPr>
          <w:i/>
          <w:sz w:val="21"/>
        </w:rPr>
        <w:t>chitosan-PEG beads in cancerous fibroblasts </w:t>
      </w:r>
      <w:r>
        <w:rPr>
          <w:sz w:val="21"/>
        </w:rPr>
        <w:t>in National Conference for Undergraduate Research. 2017. Memphis, TN.</w:t>
      </w:r>
    </w:p>
    <w:p>
      <w:pPr>
        <w:pStyle w:val="BodyText"/>
        <w:rPr>
          <w:sz w:val="22"/>
        </w:rPr>
      </w:pPr>
    </w:p>
    <w:p>
      <w:pPr>
        <w:spacing w:line="254" w:lineRule="auto" w:before="1"/>
        <w:ind w:left="1920" w:right="175" w:firstLine="0"/>
        <w:jc w:val="left"/>
        <w:rPr>
          <w:sz w:val="21"/>
        </w:rPr>
      </w:pPr>
      <w:r>
        <w:rPr>
          <w:sz w:val="21"/>
        </w:rPr>
        <w:t>Harris M, Ahmed H, </w:t>
      </w:r>
      <w:r>
        <w:rPr>
          <w:sz w:val="21"/>
          <w:u w:val="single"/>
        </w:rPr>
        <w:t>Barr B</w:t>
      </w:r>
      <w:r>
        <w:rPr>
          <w:sz w:val="21"/>
        </w:rPr>
        <w:t>, Mohapatra A, LeVine D, Pace L, Morshed B, Bumgardner J, and Jennings JA. Magnetic Stimuli-Responsive Chitosan-based Drug Delivery Bio composite for Multiple Triggered Release</w:t>
      </w:r>
      <w:r>
        <w:rPr>
          <w:i/>
          <w:sz w:val="21"/>
        </w:rPr>
        <w:t>. International Journal of Biological </w:t>
      </w:r>
      <w:r>
        <w:rPr>
          <w:i/>
          <w:sz w:val="21"/>
        </w:rPr>
        <w:t>Macromolecules </w:t>
      </w:r>
      <w:r>
        <w:rPr>
          <w:sz w:val="21"/>
        </w:rPr>
        <w:t>(2017).</w:t>
      </w:r>
    </w:p>
    <w:p>
      <w:pPr>
        <w:pStyle w:val="BodyText"/>
        <w:spacing w:before="11"/>
        <w:rPr>
          <w:sz w:val="22"/>
        </w:rPr>
      </w:pPr>
    </w:p>
    <w:p>
      <w:pPr>
        <w:tabs>
          <w:tab w:pos="1919" w:val="left" w:leader="none"/>
        </w:tabs>
        <w:spacing w:before="0"/>
        <w:ind w:left="105" w:right="0" w:firstLine="0"/>
        <w:jc w:val="left"/>
        <w:rPr>
          <w:sz w:val="21"/>
        </w:rPr>
      </w:pPr>
      <w:r>
        <w:rPr>
          <w:b/>
          <w:sz w:val="24"/>
        </w:rPr>
        <w:t>EXPERIENCE</w:t>
        <w:tab/>
      </w:r>
      <w:r>
        <w:rPr>
          <w:b/>
          <w:sz w:val="21"/>
        </w:rPr>
        <w:t>STEM Ambassador</w:t>
      </w:r>
      <w:r>
        <w:rPr>
          <w:sz w:val="21"/>
        </w:rPr>
        <w:t>, Aug 2017 –</w:t>
      </w:r>
      <w:r>
        <w:rPr>
          <w:spacing w:val="-9"/>
          <w:sz w:val="21"/>
        </w:rPr>
        <w:t> </w:t>
      </w:r>
      <w:r>
        <w:rPr>
          <w:sz w:val="21"/>
        </w:rPr>
        <w:t>Present</w:t>
      </w:r>
    </w:p>
    <w:p>
      <w:pPr>
        <w:spacing w:before="17"/>
        <w:ind w:left="1920" w:right="0" w:firstLine="0"/>
        <w:jc w:val="left"/>
        <w:rPr>
          <w:i/>
          <w:sz w:val="21"/>
        </w:rPr>
      </w:pPr>
      <w:r>
        <w:rPr>
          <w:i/>
          <w:sz w:val="21"/>
        </w:rPr>
        <w:t>West Tennessee Stem Hub, Memphis, TN</w:t>
      </w:r>
    </w:p>
    <w:p>
      <w:pPr>
        <w:pStyle w:val="ListParagraph"/>
        <w:numPr>
          <w:ilvl w:val="0"/>
          <w:numId w:val="1"/>
        </w:numPr>
        <w:tabs>
          <w:tab w:pos="2280" w:val="left" w:leader="none"/>
          <w:tab w:pos="2281" w:val="left" w:leader="none"/>
        </w:tabs>
        <w:spacing w:line="240" w:lineRule="auto" w:before="20" w:after="0"/>
        <w:ind w:left="2280" w:right="0" w:hanging="360"/>
        <w:jc w:val="left"/>
        <w:rPr>
          <w:sz w:val="21"/>
        </w:rPr>
      </w:pPr>
      <w:r>
        <w:rPr>
          <w:sz w:val="21"/>
        </w:rPr>
        <w:t>Communicates with SCS teachers to distribute STEM related</w:t>
      </w:r>
      <w:r>
        <w:rPr>
          <w:spacing w:val="-28"/>
          <w:sz w:val="21"/>
        </w:rPr>
        <w:t> </w:t>
      </w:r>
      <w:r>
        <w:rPr>
          <w:sz w:val="21"/>
        </w:rPr>
        <w:t>activities</w:t>
      </w:r>
    </w:p>
    <w:p>
      <w:pPr>
        <w:pStyle w:val="ListParagraph"/>
        <w:numPr>
          <w:ilvl w:val="0"/>
          <w:numId w:val="1"/>
        </w:numPr>
        <w:tabs>
          <w:tab w:pos="2280" w:val="left" w:leader="none"/>
          <w:tab w:pos="2281" w:val="left" w:leader="none"/>
        </w:tabs>
        <w:spacing w:line="240" w:lineRule="auto" w:before="37" w:after="0"/>
        <w:ind w:left="2280" w:right="0" w:hanging="360"/>
        <w:jc w:val="left"/>
        <w:rPr>
          <w:sz w:val="21"/>
        </w:rPr>
      </w:pPr>
      <w:r>
        <w:rPr>
          <w:sz w:val="21"/>
        </w:rPr>
        <w:t>Impact kids by chaperoning STEM activities at various high</w:t>
      </w:r>
      <w:r>
        <w:rPr>
          <w:spacing w:val="-26"/>
          <w:sz w:val="21"/>
        </w:rPr>
        <w:t> </w:t>
      </w:r>
      <w:r>
        <w:rPr>
          <w:sz w:val="21"/>
        </w:rPr>
        <w:t>schools</w:t>
      </w:r>
    </w:p>
    <w:p>
      <w:pPr>
        <w:pStyle w:val="BodyText"/>
        <w:spacing w:before="5"/>
        <w:rPr>
          <w:sz w:val="27"/>
        </w:rPr>
      </w:pPr>
    </w:p>
    <w:p>
      <w:pPr>
        <w:spacing w:before="0"/>
        <w:ind w:left="1920" w:right="0" w:firstLine="0"/>
        <w:jc w:val="left"/>
        <w:rPr>
          <w:sz w:val="21"/>
        </w:rPr>
      </w:pPr>
      <w:r>
        <w:rPr>
          <w:b/>
          <w:sz w:val="21"/>
        </w:rPr>
        <w:t>Associate Coordinator</w:t>
      </w:r>
      <w:r>
        <w:rPr>
          <w:sz w:val="21"/>
        </w:rPr>
        <w:t>, Oct 2016 – Aug 2017</w:t>
      </w:r>
    </w:p>
    <w:p>
      <w:pPr>
        <w:spacing w:before="20"/>
        <w:ind w:left="1919" w:right="0" w:firstLine="0"/>
        <w:jc w:val="left"/>
        <w:rPr>
          <w:i/>
          <w:sz w:val="21"/>
        </w:rPr>
      </w:pPr>
      <w:r>
        <w:rPr>
          <w:sz w:val="22"/>
        </w:rPr>
        <w:t>(</w:t>
      </w:r>
      <w:r>
        <w:rPr>
          <w:i/>
          <w:sz w:val="21"/>
        </w:rPr>
        <w:t>CRISTAL) Center for Research in STEM Teaching and Learning Memphis, TN</w:t>
      </w:r>
    </w:p>
    <w:p>
      <w:pPr>
        <w:pStyle w:val="ListParagraph"/>
        <w:numPr>
          <w:ilvl w:val="0"/>
          <w:numId w:val="1"/>
        </w:numPr>
        <w:tabs>
          <w:tab w:pos="2279" w:val="left" w:leader="none"/>
          <w:tab w:pos="2281" w:val="left" w:leader="none"/>
        </w:tabs>
        <w:spacing w:line="273" w:lineRule="auto" w:before="40" w:after="0"/>
        <w:ind w:left="2280" w:right="1360" w:hanging="360"/>
        <w:jc w:val="left"/>
        <w:rPr>
          <w:sz w:val="21"/>
        </w:rPr>
      </w:pPr>
      <w:r>
        <w:rPr>
          <w:sz w:val="21"/>
        </w:rPr>
        <w:t>Managed the distribution of 15 financial opportunities to 13 STEM organizations</w:t>
      </w:r>
    </w:p>
    <w:p>
      <w:pPr>
        <w:pStyle w:val="ListParagraph"/>
        <w:numPr>
          <w:ilvl w:val="0"/>
          <w:numId w:val="1"/>
        </w:numPr>
        <w:tabs>
          <w:tab w:pos="2280" w:val="left" w:leader="none"/>
          <w:tab w:pos="2281" w:val="left" w:leader="none"/>
        </w:tabs>
        <w:spacing w:line="240" w:lineRule="auto" w:before="3" w:after="0"/>
        <w:ind w:left="2280" w:right="0" w:hanging="360"/>
        <w:jc w:val="left"/>
        <w:rPr>
          <w:sz w:val="21"/>
        </w:rPr>
      </w:pPr>
      <w:r>
        <w:rPr>
          <w:sz w:val="21"/>
        </w:rPr>
        <w:t>Created academic incentives for 15 STEM</w:t>
      </w:r>
      <w:r>
        <w:rPr>
          <w:spacing w:val="-24"/>
          <w:sz w:val="21"/>
        </w:rPr>
        <w:t> </w:t>
      </w:r>
      <w:r>
        <w:rPr>
          <w:sz w:val="21"/>
        </w:rPr>
        <w:t>organizations</w:t>
      </w:r>
    </w:p>
    <w:p>
      <w:pPr>
        <w:pStyle w:val="ListParagraph"/>
        <w:numPr>
          <w:ilvl w:val="0"/>
          <w:numId w:val="1"/>
        </w:numPr>
        <w:tabs>
          <w:tab w:pos="2280" w:val="left" w:leader="none"/>
          <w:tab w:pos="2281" w:val="left" w:leader="none"/>
        </w:tabs>
        <w:spacing w:line="271" w:lineRule="auto" w:before="37" w:after="0"/>
        <w:ind w:left="2280" w:right="508" w:hanging="360"/>
        <w:jc w:val="left"/>
        <w:rPr>
          <w:sz w:val="21"/>
        </w:rPr>
      </w:pPr>
      <w:r>
        <w:rPr>
          <w:sz w:val="21"/>
        </w:rPr>
        <w:t>Worked with fellow coordinators to plan and host events for students in the STEM</w:t>
      </w:r>
      <w:r>
        <w:rPr>
          <w:spacing w:val="-4"/>
          <w:sz w:val="21"/>
        </w:rPr>
        <w:t> </w:t>
      </w:r>
      <w:r>
        <w:rPr>
          <w:sz w:val="21"/>
        </w:rPr>
        <w:t>field</w:t>
      </w:r>
    </w:p>
    <w:p>
      <w:pPr>
        <w:pStyle w:val="BodyText"/>
        <w:spacing w:before="5"/>
        <w:rPr>
          <w:sz w:val="23"/>
        </w:rPr>
      </w:pPr>
    </w:p>
    <w:p>
      <w:pPr>
        <w:tabs>
          <w:tab w:pos="1919" w:val="left" w:leader="none"/>
        </w:tabs>
        <w:spacing w:before="1"/>
        <w:ind w:left="105" w:right="0" w:firstLine="0"/>
        <w:jc w:val="left"/>
        <w:rPr>
          <w:sz w:val="21"/>
        </w:rPr>
      </w:pPr>
      <w:r>
        <w:rPr>
          <w:b/>
          <w:sz w:val="24"/>
        </w:rPr>
        <w:t>LEADERSHIP</w:t>
        <w:tab/>
      </w:r>
      <w:r>
        <w:rPr>
          <w:b/>
          <w:sz w:val="21"/>
        </w:rPr>
        <w:t>Undergraduate Teachers Assistant</w:t>
      </w:r>
      <w:r>
        <w:rPr>
          <w:sz w:val="21"/>
        </w:rPr>
        <w:t>, Aug 2017 –</w:t>
      </w:r>
      <w:r>
        <w:rPr>
          <w:spacing w:val="-20"/>
          <w:sz w:val="21"/>
        </w:rPr>
        <w:t> </w:t>
      </w:r>
      <w:r>
        <w:rPr>
          <w:sz w:val="21"/>
        </w:rPr>
        <w:t>Present</w:t>
      </w:r>
    </w:p>
    <w:p>
      <w:pPr>
        <w:pStyle w:val="BodyText"/>
        <w:spacing w:before="20"/>
        <w:ind w:left="1920"/>
      </w:pPr>
      <w:r>
        <w:rPr>
          <w:b/>
        </w:rPr>
        <w:t>Treasurer</w:t>
      </w:r>
      <w:r>
        <w:rPr/>
        <w:t>, Society for Women Engineers</w:t>
      </w:r>
      <w:r>
        <w:rPr>
          <w:b/>
        </w:rPr>
        <w:t>, </w:t>
      </w:r>
      <w:r>
        <w:rPr/>
        <w:t>May 2017 – Present</w:t>
      </w:r>
    </w:p>
    <w:p>
      <w:pPr>
        <w:pStyle w:val="BodyText"/>
        <w:spacing w:line="256" w:lineRule="auto" w:before="19"/>
        <w:ind w:left="1920" w:right="164" w:hanging="12"/>
      </w:pPr>
      <w:r>
        <w:rPr>
          <w:b/>
        </w:rPr>
        <w:t>Secretary and Finance Chair</w:t>
      </w:r>
      <w:r>
        <w:rPr/>
        <w:t>, National Society of Black Engineers Jul 16 – Jul 17 </w:t>
      </w:r>
      <w:r>
        <w:rPr>
          <w:b/>
        </w:rPr>
        <w:t>Liaison</w:t>
      </w:r>
      <w:r>
        <w:rPr/>
        <w:t>, Ambassador Biomedical Engineering Society/Society for Biomaterials, Aug 2016 – Present</w:t>
      </w:r>
    </w:p>
    <w:p>
      <w:pPr>
        <w:spacing w:before="2"/>
        <w:ind w:left="1910" w:right="0" w:firstLine="0"/>
        <w:jc w:val="left"/>
        <w:rPr>
          <w:sz w:val="21"/>
        </w:rPr>
      </w:pPr>
      <w:r>
        <w:rPr>
          <w:b/>
          <w:sz w:val="21"/>
        </w:rPr>
        <w:t>Engineering Mentor</w:t>
      </w:r>
      <w:r>
        <w:rPr>
          <w:sz w:val="21"/>
        </w:rPr>
        <w:t>, Student Success Program</w:t>
      </w:r>
      <w:r>
        <w:rPr>
          <w:b/>
          <w:sz w:val="21"/>
        </w:rPr>
        <w:t>, </w:t>
      </w:r>
      <w:r>
        <w:rPr>
          <w:sz w:val="21"/>
        </w:rPr>
        <w:t>Aug 2015 – Present</w:t>
      </w:r>
    </w:p>
    <w:sectPr>
      <w:type w:val="continuous"/>
      <w:pgSz w:w="12240" w:h="15840"/>
      <w:pgMar w:top="6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280" w:hanging="361"/>
      </w:pPr>
      <w:rPr>
        <w:rFonts w:hint="default" w:ascii="Symbol" w:hAnsi="Symbol" w:eastAsia="Symbol" w:cs="Symbol"/>
        <w:w w:val="100"/>
        <w:sz w:val="21"/>
        <w:szCs w:val="21"/>
      </w:rPr>
    </w:lvl>
    <w:lvl w:ilvl="1">
      <w:start w:val="0"/>
      <w:numFmt w:val="bullet"/>
      <w:lvlText w:val="•"/>
      <w:lvlJc w:val="left"/>
      <w:pPr>
        <w:ind w:left="301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4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70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3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6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mbria" w:hAnsi="Cambria" w:eastAsia="Cambria" w:cs="Cambria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2280" w:hanging="36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simpson@gmail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Ambrose</dc:creator>
  <dcterms:created xsi:type="dcterms:W3CDTF">2019-03-04T11:33:58Z</dcterms:created>
  <dcterms:modified xsi:type="dcterms:W3CDTF">2019-03-04T11:33:58Z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2019-03-04T00:00:00Z</vt:filetime>
  </property>
</Properties>
</file>