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758" w:rsidRPr="00054C38" w:rsidRDefault="00943758" w:rsidP="0021027D">
      <w:pPr>
        <w:autoSpaceDE w:val="0"/>
        <w:autoSpaceDN w:val="0"/>
        <w:adjustRightInd w:val="0"/>
        <w:spacing w:after="0" w:line="240" w:lineRule="auto"/>
        <w:jc w:val="center"/>
        <w:rPr>
          <w:rFonts w:cs="Times New Roman"/>
          <w:b/>
          <w:bCs/>
          <w:color w:val="262626"/>
          <w:szCs w:val="32"/>
        </w:rPr>
      </w:pPr>
      <w:bookmarkStart w:id="0" w:name="_GoBack"/>
      <w:bookmarkEnd w:id="0"/>
      <w:r w:rsidRPr="00054C38">
        <w:rPr>
          <w:rFonts w:cs="Times New Roman"/>
          <w:b/>
          <w:bCs/>
          <w:color w:val="262626"/>
          <w:szCs w:val="32"/>
        </w:rPr>
        <w:t>Tanaquil Promotes Servius Tullius</w:t>
      </w:r>
    </w:p>
    <w:p w:rsidR="00943758" w:rsidRPr="00054C38" w:rsidRDefault="00943758" w:rsidP="0021027D">
      <w:pPr>
        <w:autoSpaceDE w:val="0"/>
        <w:autoSpaceDN w:val="0"/>
        <w:adjustRightInd w:val="0"/>
        <w:spacing w:after="0" w:line="240" w:lineRule="auto"/>
        <w:jc w:val="both"/>
        <w:rPr>
          <w:rFonts w:cs="Times New Roman"/>
          <w:color w:val="262626"/>
          <w:szCs w:val="32"/>
        </w:rPr>
      </w:pPr>
    </w:p>
    <w:p w:rsidR="00943758" w:rsidRPr="00054C38" w:rsidRDefault="00943758" w:rsidP="0021027D">
      <w:pPr>
        <w:autoSpaceDE w:val="0"/>
        <w:autoSpaceDN w:val="0"/>
        <w:adjustRightInd w:val="0"/>
        <w:spacing w:after="0" w:line="240" w:lineRule="auto"/>
        <w:jc w:val="both"/>
        <w:rPr>
          <w:rFonts w:cs="Times New Roman"/>
          <w:color w:val="262626"/>
          <w:szCs w:val="32"/>
        </w:rPr>
      </w:pPr>
      <w:r w:rsidRPr="00054C38">
        <w:rPr>
          <w:rFonts w:cs="Times New Roman"/>
          <w:color w:val="262626"/>
          <w:szCs w:val="32"/>
          <w:lang w:val="it-IT"/>
        </w:rPr>
        <w:t xml:space="preserve">Eō ferē tempore in rēgiā prōdigium mīrābile fuit. </w:t>
      </w:r>
      <w:r w:rsidRPr="00054C38">
        <w:rPr>
          <w:rFonts w:cs="Times New Roman"/>
          <w:color w:val="262626"/>
          <w:szCs w:val="32"/>
        </w:rPr>
        <w:t>Caput puerī dormientis, cui Servius Tullius fuit nōmen, multōrum in cōnspectū ārsit. Servī, quī aquam ad rēstinguendam flammam ferēbant, ab rēgīnā retentī sunt. Mox cum puer ē somnō excitātus esset, flamma abiit. Tum, abductō in sēcrētum virō, Tanaquil, “Vidēsne tū hunc puerum,” inquit, “quem tam humilī cultū ēducāmus? Lūmen profectō portendit eum aliquandō nōbīs praesidiō futūrum esse. Proinde artibus līberālibus ērudiendus est.” Ingenium iuvenis vērē rēgium erat. Tarquinius igitur eī fīliam suam dēspondit.</w:t>
      </w:r>
    </w:p>
    <w:p w:rsidR="00943758" w:rsidRPr="00054C38" w:rsidRDefault="00943758" w:rsidP="0021027D">
      <w:pPr>
        <w:autoSpaceDE w:val="0"/>
        <w:autoSpaceDN w:val="0"/>
        <w:adjustRightInd w:val="0"/>
        <w:spacing w:after="0" w:line="240" w:lineRule="auto"/>
        <w:jc w:val="both"/>
        <w:rPr>
          <w:rFonts w:cs="Times New Roman"/>
          <w:i/>
          <w:iCs/>
          <w:color w:val="262626"/>
          <w:szCs w:val="32"/>
        </w:rPr>
      </w:pPr>
    </w:p>
    <w:p w:rsidR="00943758" w:rsidRPr="00054C38" w:rsidRDefault="00054C38" w:rsidP="00054C38">
      <w:pPr>
        <w:autoSpaceDE w:val="0"/>
        <w:autoSpaceDN w:val="0"/>
        <w:adjustRightInd w:val="0"/>
        <w:spacing w:after="0" w:line="240" w:lineRule="auto"/>
        <w:ind w:left="5760"/>
        <w:jc w:val="both"/>
        <w:rPr>
          <w:rFonts w:cs="Times New Roman"/>
          <w:i/>
          <w:color w:val="262626"/>
          <w:szCs w:val="32"/>
        </w:rPr>
      </w:pPr>
      <w:r w:rsidRPr="00054C38">
        <w:rPr>
          <w:rFonts w:cs="Times New Roman"/>
          <w:i/>
          <w:iCs/>
          <w:color w:val="262626"/>
          <w:szCs w:val="32"/>
        </w:rPr>
        <w:t xml:space="preserve">   </w:t>
      </w:r>
      <w:r w:rsidR="00943758" w:rsidRPr="00054C38">
        <w:rPr>
          <w:rFonts w:cs="Times New Roman"/>
          <w:i/>
          <w:iCs/>
          <w:color w:val="262626"/>
          <w:szCs w:val="32"/>
        </w:rPr>
        <w:t xml:space="preserve">Fabulae Romanae </w:t>
      </w:r>
      <w:r w:rsidR="00943758" w:rsidRPr="00054C38">
        <w:rPr>
          <w:rFonts w:cs="Times New Roman"/>
          <w:i/>
          <w:color w:val="262626"/>
          <w:szCs w:val="32"/>
        </w:rPr>
        <w:t>(1993), p. 37, 13-23</w:t>
      </w:r>
    </w:p>
    <w:p w:rsidR="00943758" w:rsidRPr="00054C38" w:rsidRDefault="00943758" w:rsidP="0021027D">
      <w:pPr>
        <w:autoSpaceDE w:val="0"/>
        <w:autoSpaceDN w:val="0"/>
        <w:adjustRightInd w:val="0"/>
        <w:spacing w:after="0" w:line="240" w:lineRule="auto"/>
        <w:jc w:val="both"/>
        <w:rPr>
          <w:rFonts w:cs="Times New Roman"/>
          <w:color w:val="262626"/>
          <w:szCs w:val="32"/>
        </w:rPr>
      </w:pPr>
    </w:p>
    <w:p w:rsidR="00054C38" w:rsidRPr="00054C38" w:rsidRDefault="00943758" w:rsidP="0021027D">
      <w:pPr>
        <w:autoSpaceDE w:val="0"/>
        <w:autoSpaceDN w:val="0"/>
        <w:adjustRightInd w:val="0"/>
        <w:spacing w:after="0" w:line="240" w:lineRule="auto"/>
        <w:jc w:val="both"/>
        <w:rPr>
          <w:rFonts w:cs="Times New Roman"/>
          <w:color w:val="262626"/>
          <w:szCs w:val="32"/>
        </w:rPr>
      </w:pPr>
      <w:r w:rsidRPr="00054C38">
        <w:rPr>
          <w:rFonts w:cs="Times New Roman"/>
          <w:color w:val="262626"/>
          <w:szCs w:val="32"/>
        </w:rPr>
        <w:t>About that time in the palace there was a remarkable omen. The head of a sleeping boy, whose name was Servius Tullius, caught fire in the sight of many people. The slaves who were bringing water to put out the flame were held back by the queen. Soon when the boy had been aroused from his sleep, the flame went away. Then, having removed her husband into a secret place, Tanaquil said, “Do you see this boy, whom we are bringing up from such a lowly status? Surely this light portends that he will someday be a guardian for us. Therefore he should be educated in the liberal arts.” The natural talent of the youth was truly that of a king. So Tarquin betrothed his daughter to him.</w:t>
      </w:r>
    </w:p>
    <w:p w:rsidR="00182DE0" w:rsidRDefault="00182DE0" w:rsidP="0021027D">
      <w:pPr>
        <w:autoSpaceDE w:val="0"/>
        <w:autoSpaceDN w:val="0"/>
        <w:adjustRightInd w:val="0"/>
        <w:spacing w:after="0" w:line="240" w:lineRule="auto"/>
        <w:jc w:val="both"/>
        <w:rPr>
          <w:rFonts w:cs="Times New Roman"/>
          <w:color w:val="262626"/>
          <w:szCs w:val="32"/>
        </w:rPr>
      </w:pPr>
    </w:p>
    <w:p w:rsidR="00182DE0" w:rsidRDefault="00182DE0" w:rsidP="0021027D">
      <w:pPr>
        <w:autoSpaceDE w:val="0"/>
        <w:autoSpaceDN w:val="0"/>
        <w:adjustRightInd w:val="0"/>
        <w:spacing w:after="0" w:line="240" w:lineRule="auto"/>
        <w:jc w:val="both"/>
        <w:rPr>
          <w:rFonts w:cs="Times New Roman"/>
          <w:color w:val="262626"/>
          <w:szCs w:val="32"/>
        </w:rPr>
      </w:pPr>
    </w:p>
    <w:p w:rsidR="00054C38" w:rsidRPr="00054C38" w:rsidRDefault="00054C38" w:rsidP="0021027D">
      <w:pPr>
        <w:autoSpaceDE w:val="0"/>
        <w:autoSpaceDN w:val="0"/>
        <w:adjustRightInd w:val="0"/>
        <w:spacing w:after="0" w:line="240" w:lineRule="auto"/>
        <w:jc w:val="both"/>
        <w:rPr>
          <w:rFonts w:cs="Times New Roman"/>
          <w:color w:val="262626"/>
          <w:szCs w:val="32"/>
        </w:rPr>
      </w:pPr>
    </w:p>
    <w:p w:rsidR="00054C38" w:rsidRPr="00054C38" w:rsidRDefault="00054C38" w:rsidP="0021027D">
      <w:pPr>
        <w:autoSpaceDE w:val="0"/>
        <w:autoSpaceDN w:val="0"/>
        <w:adjustRightInd w:val="0"/>
        <w:spacing w:after="0" w:line="240" w:lineRule="auto"/>
        <w:jc w:val="both"/>
        <w:rPr>
          <w:rFonts w:cs="Times New Roman"/>
          <w:color w:val="262626"/>
          <w:szCs w:val="32"/>
        </w:rPr>
      </w:pPr>
    </w:p>
    <w:p w:rsidR="00054C38" w:rsidRPr="00054C38" w:rsidRDefault="00054C38" w:rsidP="00054C38">
      <w:pPr>
        <w:jc w:val="center"/>
        <w:rPr>
          <w:rFonts w:cs="Times New Roman"/>
          <w:b/>
        </w:rPr>
      </w:pPr>
      <w:r w:rsidRPr="00054C38">
        <w:rPr>
          <w:rFonts w:cs="Times New Roman"/>
          <w:b/>
        </w:rPr>
        <w:t xml:space="preserve">The Death of Verginia </w:t>
      </w:r>
    </w:p>
    <w:p w:rsidR="00054C38" w:rsidRPr="00054C38" w:rsidRDefault="00054C38" w:rsidP="00F11913">
      <w:pPr>
        <w:ind w:firstLine="720"/>
        <w:jc w:val="both"/>
        <w:rPr>
          <w:rFonts w:cs="Times New Roman"/>
          <w:szCs w:val="32"/>
        </w:rPr>
      </w:pPr>
      <w:r w:rsidRPr="00054C38">
        <w:rPr>
          <w:rFonts w:cs="Times New Roman"/>
          <w:szCs w:val="32"/>
        </w:rPr>
        <w:t xml:space="preserve">Rōmae prīmā lūce cīvēs in forum convēnērunt. Tum eō Verginius maestissimus fīliam ipsam cum multitūdine amīcōrum dēdūcit. Frūstrā lībertātem Verginiae petēbant. Appius, vir magnae crūdēlitātis, audīre nōluit.  </w:t>
      </w:r>
    </w:p>
    <w:p w:rsidR="00054C38" w:rsidRPr="00054C38" w:rsidRDefault="00054C38" w:rsidP="00182DE0">
      <w:pPr>
        <w:ind w:firstLine="720"/>
        <w:jc w:val="both"/>
        <w:rPr>
          <w:rFonts w:cs="Times New Roman"/>
          <w:szCs w:val="32"/>
        </w:rPr>
      </w:pPr>
      <w:r w:rsidRPr="00054C38">
        <w:rPr>
          <w:rFonts w:cs="Times New Roman"/>
          <w:szCs w:val="32"/>
        </w:rPr>
        <w:t xml:space="preserve">Tum Verginius, “Pauca,” inquit, “cum fīliā sēcrētō dīcere volō.” Facultāte datā, fīliam dūcit ad tabernās atque ibi, ab laniō cultrō arreptō, “Hōc ūnō,” inquit, “quō possum modo, fīlia, tibi lībertātem dō.” Eō tempore pectus puellae trānsfīgit, respectānsque ad tribūnal, “Tē ipsum,” inquit, “Appī, tuumque caput hōc sanguine consēcrō.” </w:t>
      </w:r>
    </w:p>
    <w:p w:rsidR="00054C38" w:rsidRPr="00054C38" w:rsidRDefault="00054C38" w:rsidP="00054C38">
      <w:pPr>
        <w:ind w:firstLine="720"/>
        <w:jc w:val="right"/>
        <w:rPr>
          <w:rFonts w:cs="Times New Roman"/>
          <w:i/>
          <w:szCs w:val="28"/>
        </w:rPr>
      </w:pPr>
      <w:r w:rsidRPr="00054C38">
        <w:rPr>
          <w:rFonts w:cs="Times New Roman"/>
          <w:i/>
          <w:szCs w:val="28"/>
        </w:rPr>
        <w:t xml:space="preserve">Latin: Our Living Heritage, Book I, (1962), p. 318 </w:t>
      </w:r>
    </w:p>
    <w:p w:rsidR="00054C38" w:rsidRPr="00054C38" w:rsidRDefault="00054C38" w:rsidP="00054C38">
      <w:pPr>
        <w:jc w:val="both"/>
        <w:rPr>
          <w:rFonts w:cs="Times New Roman"/>
          <w:szCs w:val="28"/>
        </w:rPr>
      </w:pPr>
      <w:r w:rsidRPr="00054C38">
        <w:rPr>
          <w:rFonts w:cs="Times New Roman"/>
          <w:szCs w:val="28"/>
        </w:rPr>
        <w:t>In Rome at daybreak the citizens came together into the forum. Then a very sad Verginius leads his daughter herself there with a multitude of friends. In vain he sought freedom for Verginia. Appius, a man of great cruelty, refused to listen. Then Verginius says, “I want to say a few words with my daughter privately.” The opportunity having been given, he leads his daughter to the shops and there, having grabbed a knife from a butcher, says, “This is the only way, my daughter, that I can give you freedom.” At that time he pierces the girl’s chest, and looking back toward the judge’s stand, says, “Appius, I sacrifice you yourself and your head with this blood.”</w:t>
      </w:r>
    </w:p>
    <w:p w:rsidR="009E42F0" w:rsidRPr="0021027D" w:rsidRDefault="009E42F0" w:rsidP="0021027D">
      <w:pPr>
        <w:autoSpaceDE w:val="0"/>
        <w:autoSpaceDN w:val="0"/>
        <w:adjustRightInd w:val="0"/>
        <w:spacing w:after="0" w:line="240" w:lineRule="auto"/>
        <w:jc w:val="both"/>
        <w:rPr>
          <w:rFonts w:ascii="Times New Roman" w:hAnsi="Times New Roman" w:cs="Times New Roman"/>
          <w:sz w:val="32"/>
          <w:szCs w:val="32"/>
        </w:rPr>
      </w:pPr>
    </w:p>
    <w:sectPr w:rsidR="009E42F0" w:rsidRPr="0021027D" w:rsidSect="00D86790">
      <w:headerReference w:type="default" r:id="rId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385" w:rsidRPr="0088322E" w:rsidRDefault="00DD7385" w:rsidP="00DD7385">
    <w:pPr>
      <w:spacing w:after="0"/>
      <w:rPr>
        <w:sz w:val="24"/>
        <w:szCs w:val="32"/>
      </w:rPr>
    </w:pPr>
    <w:r w:rsidRPr="0088322E">
      <w:rPr>
        <w:sz w:val="24"/>
        <w:szCs w:val="32"/>
      </w:rPr>
      <w:t xml:space="preserve">2017 Language Fair </w:t>
    </w:r>
    <w:r>
      <w:rPr>
        <w:sz w:val="24"/>
        <w:szCs w:val="32"/>
      </w:rPr>
      <w:t>Latin</w:t>
    </w:r>
    <w:r w:rsidRPr="0088322E">
      <w:rPr>
        <w:sz w:val="24"/>
        <w:szCs w:val="32"/>
      </w:rPr>
      <w:t xml:space="preserve"> Poems</w:t>
    </w:r>
  </w:p>
  <w:p w:rsidR="005B11DE" w:rsidRDefault="005B11DE">
    <w:pPr>
      <w:pStyle w:val="Header"/>
    </w:pPr>
    <w:r>
      <w:t>Level II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BF5E42"/>
    <w:rsid w:val="00054C38"/>
    <w:rsid w:val="00182DE0"/>
    <w:rsid w:val="001F06B8"/>
    <w:rsid w:val="0021027D"/>
    <w:rsid w:val="00251957"/>
    <w:rsid w:val="00320F68"/>
    <w:rsid w:val="003C0F36"/>
    <w:rsid w:val="0042642B"/>
    <w:rsid w:val="004A23D3"/>
    <w:rsid w:val="005B11DE"/>
    <w:rsid w:val="00943758"/>
    <w:rsid w:val="009E42F0"/>
    <w:rsid w:val="00BF5E42"/>
    <w:rsid w:val="00D72F9B"/>
    <w:rsid w:val="00D86790"/>
    <w:rsid w:val="00DC126C"/>
    <w:rsid w:val="00DD7385"/>
    <w:rsid w:val="00F11913"/>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79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5B11DE"/>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5B11DE"/>
  </w:style>
  <w:style w:type="paragraph" w:styleId="Footer">
    <w:name w:val="footer"/>
    <w:basedOn w:val="Normal"/>
    <w:link w:val="FooterChar"/>
    <w:uiPriority w:val="99"/>
    <w:semiHidden/>
    <w:unhideWhenUsed/>
    <w:rsid w:val="005B11DE"/>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5B11DE"/>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2160</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Procion</dc:creator>
  <cp:lastModifiedBy>Lindsey Aston</cp:lastModifiedBy>
  <cp:revision>8</cp:revision>
  <dcterms:created xsi:type="dcterms:W3CDTF">2016-10-23T14:47:00Z</dcterms:created>
  <dcterms:modified xsi:type="dcterms:W3CDTF">2016-11-02T20:57:00Z</dcterms:modified>
</cp:coreProperties>
</file>